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darba inspekcijas integrētās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6.3.4. ja iesnieguma subjekts ir publiskas personas iestāde, kas atrodas citas publiskas personas iestādes padotībā, vai uzņēmuma struktūrvienība: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6.3.4. Saskaņā ar starpresoru vienošanos VID nodrošina informāciju arī par reģistrācijas datumu. Tādēļ lūdzam izvērtēt vai  Noteikumu 6.3.4. apakšpunkts nav jāpapildina ar prasībām par reģistrācijas datuma norādīšanu VDD informācijas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Mironova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9.5.4. juridiskā vai deklarētās dzīvesvietas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Ministru kabineta noteikumu 9.5.4, 10.5.4, 11.6.4 apakšpunktos norādītas informācijas “par juridiskām adresēm un deklarētām adresēm” datu sniedzēji ir Pilsonības un migrācijas lietu pārvalde, Uzņēmumu reģistrs un Valsts ieņēmumu dienests, un ņemot vēra to, ka VID nesniedz informāciju par deklarētām dzīves vietas adresēm, priekšlikums tomēr izdalīt šīs datu kopas pēc piederības.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saskaņā ar starpresoru vienošanās informāciju par adresi sniedz tikai Saimnieciskās darbības veicējiem, kas ir saimnieciskās darbības veikšanas adrese un juridisko adresi Dienesta reģistrētām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Mironova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1.1.sadaļas apakšpunktā “Apraksts” likuma nosaukumu no “Valsts darba likumā likuma” uz “Valsts darba inspekcijas 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apakšpunktu “Risinājuma apraksts”, norādot Ministru kabineta noteikumu Nr.50 “Obligātās sociālās apdrošināšanas pret nelaimes gadījumiem darbā un arodslimībām apdrošināšanas atlīdzības piešķiršanas un aprēķināšanas kārtība”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6.2.apakšpunktu, norādot Valsts darba inspekcijas informācijas sistēmas izstrādei, ieviešanai un uzturēšanai nepieciešamo finansējumu pa gadiem, vienlaikus norādot, kādu LM budžetā piešķirto līdzekļu ietvaros tas tiks nodrošināts.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19.10.2023.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19.10.2023.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Atzinumi_23-TA-2265.docx</dc:title>
</cp:coreProperties>
</file>

<file path=docProps/custom.xml><?xml version="1.0" encoding="utf-8"?>
<Properties xmlns="http://schemas.openxmlformats.org/officeDocument/2006/custom-properties" xmlns:vt="http://schemas.openxmlformats.org/officeDocument/2006/docPropsVTypes"/>
</file>