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889 "Noteikumi par atmežošanas kompensācijas noteikšanas kritērijiem, aprēķināšanas un atlīdzināšanas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Kompetentā institūcija informē Valsts meža dienestu par izdoto administratīvo aktu, kas personai piešķir tiesības veikt būvniecību, meža ierīkot lauksaimniecībā izmantojamu zemi vai  veikt derīgo izrakteņu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regulējumu, paredzot, ka kompetentā institūcija informē Valsts meža dienestu par izdoto administratīvo aktu būvniecības ieceres īstenošanas procesā, izmantojot būvniecības informācijas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Kompetentā institūcija informē Valsts meža dienestu par izdoto administratīvo aktu, kas personai piešķir tiesības veikt būvniecību, meža ierīkot lauksaimniecībā izmantojamu zemi vai  veikt derīgo izrakteņu ieguvi. Informāciju par būvniecību atļaujošo administratīvo aktu sniedz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10.</w:t>
            </w:r>
            <w:r w:rsidR="00000000" w:rsidRPr="00000000" w:rsidDel="00000000">
              <w:rPr>
                <w:vertAlign w:val="superscript"/>
                <w:rtl w:val="0"/>
              </w:rPr>
              <w:t xml:space="preserve">1</w:t>
            </w:r>
            <w:r w:rsidR="00000000" w:rsidRPr="00000000" w:rsidDel="00000000">
              <w:rPr>
                <w:rtl w:val="0"/>
              </w:rPr>
              <w:t xml:space="preserve"> punkts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saistībā ar Ekonomikas ministrijas priekšlikumu un noteikt, ka grozījumi 18.pantā par informācijas sniegšanu, izmantojot BIS, stājas spēkā 2026.gada 1.janvārī.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10.1 punkts, kā arī grozījums 18.panta, kas paredz informācijas nodošanai par būvniecību atļaujošo administratīvo aktu izmantot būvniecības informācijas sistēmu,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28.11.2024.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28.11.2024.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Atzinumi_23-TA-956.docx</dc:title>
</cp:coreProperties>
</file>

<file path=docProps/custom.xml><?xml version="1.0" encoding="utf-8"?>
<Properties xmlns="http://schemas.openxmlformats.org/officeDocument/2006/custom-properties" xmlns:vt="http://schemas.openxmlformats.org/officeDocument/2006/docPropsVTypes"/>
</file>