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ogļūdeņražu izpētes un ieguves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“Klimata likums” pārņem likumā “Par Piesārņojumu” iekļautās klimata politikas jomu regulējošās normas, - siltumnīcefekta gāzu (turpmāk – SEG) emisiju samazināšana un oglekļa dioksīda piesaiste, pielāgošanās klimata pārmaiņām nodrošināšana, kā arī Latvijas ziņošanas pienākumu attiecībā uz klimata pārmaiņām, Baltijas ogļūdeņražu izpētes un ieguves asociācija (turpmāk - Asociācija) uztur iepriekš izteiktos iebildumus un atkārtoti lūdz tos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ietvertās normas saistībā ar atkritumu apsaimniekošanu dublēšanos ar likumos  “Atkritumu apsaimniekošanas likumā”, kā arī likumā “Par ietekmes uz vidi novērtējumu”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normu “ Dienests var uzdot operatoram veikt papildpasākumus, kas nepieciešami, lai nodrošinātu atbilstību atļaujas, lēmumā, kas izdots saskaņā ar šā likuma 17. panta trešo daļu vai vides aizsardzības jomas normatīvo aktu prasībām” izteikt sekojošā redakcijā: </w:t>
            </w:r>
            <w:r w:rsidR="00000000" w:rsidRPr="00000000" w:rsidDel="00000000">
              <w:rPr>
                <w:i w:val="1"/>
                <w:rtl w:val="0"/>
              </w:rPr>
              <w:t xml:space="preserve">(2) Dienests var uzdot operatoram veikt papildpasākumus, kas nepieciešami, lai nodrošinātu atbilstību atļaujas, lēmumā, kas izdots saskaņā ar šā likuma 17. panta trešo daļu vai vides aizsardzības jomas normatīvo aktu prasībām. Dienests pamato šo mērījumu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normu “Operators veic pasākumus, lai ierobežotu ietekmi uz vidi un novērstu turpmākus pārkāpumus vai piesārņojuma un avārijas rašanās iespējamību” izteikt sekojošā redakcijā: </w:t>
            </w:r>
            <w:r w:rsidR="00000000" w:rsidRPr="00000000" w:rsidDel="00000000">
              <w:rPr>
                <w:i w:val="1"/>
                <w:rtl w:val="0"/>
              </w:rPr>
              <w:t xml:space="preserve">(2) Operators veic pasākumus, lai ierobežotu ietekmi uz vidi un novērstu turpmākus pārkāpumus vai piesārņojuma un avārijas rašanās iespējamību. Dienests pamato šo mērījumu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normu “Dienests var uzdot operatoram veikt papildpasākumus, kas ir nepieciešami, lai ierobežotu ietekmi uz vidi un novērstu turpmākus pārkāpumus vai piesārņojuma un avārijas rašanās iespējamību” izteikt sekojošā redakcijā: </w:t>
            </w:r>
            <w:r w:rsidR="00000000" w:rsidRPr="00000000" w:rsidDel="00000000">
              <w:rPr>
                <w:i w:val="1"/>
                <w:rtl w:val="0"/>
              </w:rPr>
              <w:t xml:space="preserve">Dienests var uzdot operatoram veikt papildpasākumus, kas ir nepieciešami, lai ierobežotu ietekmi uz vidi un novērstu turpmākus pārkāpumus vai piesārņojuma un avārijas rašanās iespējamību.  Dienests pamato šo mērījumu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iebildums pret normu: “Ministru kabinets apstiprina A, B un C kategorijas piesārņojošo darbību sarakstus”. Iebilduma pamatojums: ievērojot, ka robežlieluma noteikšana pamatota ar Eiropas Parlamenta un Padomes direktīvu 2010/75/ES (2010. gada 24. novembris) par rūpnieciskajām emisijām, ir nosakāms robežlielums ogļūdeņražu ieguvei sauszemē un jūrā. Nav samērīgi, ka ogļūdeņražu ieguve ir vienīgā nozare Latvijā, kurai tāds nav noteikts. Piedāvātā redakcija: </w:t>
            </w:r>
            <w:r w:rsidR="00000000" w:rsidRPr="00000000" w:rsidDel="00000000">
              <w:rPr>
                <w:i w:val="1"/>
                <w:rtl w:val="0"/>
              </w:rPr>
              <w:t xml:space="preserve">Ministru kabinets apstiprina A, B un C kategorijas piesārņojošo darbību sarakstus, papildinot ar piesārņojošo darbību robežvērtībām, ja tādas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ka robežlieluma noteikšana pamatota ar Eiropas Parlamenta un Padomes direktīvu 2010/75/ES (2010. gada 24. novembris) par rūpnieciskajām emisijām, ir nosakāms robežlielums ogļūdeņražu ieguvei sauszemē un jūrā. Nav samērīgi, ka ogļūdeņražu ieguve ir vienīgā nozare Latvijā, kurai tāds nav noteikts. Lūdzam papildināt anotāciju.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Ievērojot, ka Eiropas Parlamenta un Padomes direktīva 2010/75/ES par rūpnieciskajām emisijām ir pamats robežlielumu noteikšanai, ir nepieciešams ieviest robežlielumus arī ogļūdeņražu ieguvei gan sauszemē, gan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07.01.2025.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07.01.2025.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Atzinumi_24-TA-1182.docx</dc:title>
</cp:coreProperties>
</file>

<file path=docProps/custom.xml><?xml version="1.0" encoding="utf-8"?>
<Properties xmlns="http://schemas.openxmlformats.org/officeDocument/2006/custom-properties" xmlns:vt="http://schemas.openxmlformats.org/officeDocument/2006/docPropsVTypes"/>
</file>