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26-TA-331: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7. jūnija noteikumos Nr. 348 "Spiedieniekārtu un to kompleksu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Papildināt ar 11.</w:t>
            </w:r>
            <w:r w:rsidR="00000000" w:rsidRPr="00000000" w:rsidDel="00000000">
              <w:rPr>
                <w:vertAlign w:val="superscript"/>
                <w:rtl w:val="0"/>
              </w:rPr>
              <w:t xml:space="preserve">3</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3</w:t>
            </w:r>
            <w:r w:rsidR="00000000" w:rsidRPr="00000000" w:rsidDel="00000000">
              <w:rPr>
                <w:rtl w:val="0"/>
              </w:rPr>
              <w:t xml:space="preserve"> Atbilstības prezumpcija un tirgus uzraudzība spiedieniekārtām un to kompleksiem, kas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13</w:t>
            </w:r>
            <w:r w:rsidR="00000000" w:rsidRPr="00000000" w:rsidDel="00000000">
              <w:rPr>
                <w:rtl w:val="0"/>
              </w:rPr>
              <w:t xml:space="preserve"> Spiedieniekārtas un to kompleksi, kuras ar Eiropas Savienības tieši piemērojamiem tiesību aktiem atzītas par krīzē būtiskām precēm, uzskaitot piemērojamos standartus vai nosakot kopējas specifikācijas spiedieniekārtām un to kompleksiem, atbilst šo noteikumu būtiskajām drošuma prasībām, uz kurām attiecas šie standarti, kopējās specifikācijas vai to daļas. No nākamās dienas pēc iekšējā tirgus ārkārtas situācijas izbeigšanās ražotājiem vairs nav iespējams paļauties uz atbilstības prezumpciju, ko nodrošina Eiropas Komisijas īstenošanas aktos norādītie standarti vai kopējās specifikācijas.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14</w:t>
            </w:r>
            <w:r w:rsidR="00000000" w:rsidRPr="00000000" w:rsidDel="00000000">
              <w:rPr>
                <w:rtl w:val="0"/>
              </w:rPr>
              <w:t xml:space="preserve"> Ja vien nav pietiekama iemesla uzskatīt, ka spiedieniekārtas un to kompleksi, uz kurām attiecas standarti vai kopējās specifikācijas, kas minētas 396.</w:t>
            </w:r>
            <w:r w:rsidR="00000000" w:rsidRPr="00000000" w:rsidDel="00000000">
              <w:rPr>
                <w:vertAlign w:val="superscript"/>
                <w:rtl w:val="0"/>
              </w:rPr>
              <w:t xml:space="preserve">13</w:t>
            </w:r>
            <w:r w:rsidR="00000000" w:rsidRPr="00000000" w:rsidDel="00000000">
              <w:rPr>
                <w:rtl w:val="0"/>
              </w:rPr>
              <w:t xml:space="preserve"> punktā, rada risku cilvēku veselībai vai drošībai, spiedieniekārtās un to kompleksi, kas atbilst minētajiem standartiem vai kopējām specifikācijām un kas laistas tirgū, uzskata par atbilstošām šo noteikumu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15</w:t>
            </w:r>
            <w:r w:rsidR="00000000" w:rsidRPr="00000000" w:rsidDel="00000000">
              <w:rPr>
                <w:rtl w:val="0"/>
              </w:rPr>
              <w:t xml:space="preserve"> Tirgus uzraudzības iestādes uzraudzību prioritāri veic tām spiedieniekārtām un to kompleksiem, kuras atzītas par krīzē būtisku preci."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projektā konsekventi atsaukties uz "Eiropas Savienības</w:t>
            </w:r>
            <w:r w:rsidR="00000000" w:rsidRPr="00000000" w:rsidDel="00000000">
              <w:rPr>
                <w:u w:val="single"/>
                <w:rtl w:val="0"/>
              </w:rPr>
              <w:t xml:space="preserve"> tieši piemērojamiem</w:t>
            </w:r>
            <w:r w:rsidR="00000000" w:rsidRPr="00000000" w:rsidDel="00000000">
              <w:rPr>
                <w:rtl w:val="0"/>
              </w:rPr>
              <w:t xml:space="preserve"> tiesību aktiem", anotācijā atspoguļojot to izpratni, jo norāde "Eiropas Komisijas īstenošanas aktos norādītie standarti vai kopējās specifikācijas" nenodrošina izpratni, kādi Eiropas Komisijas īstenošanas akti ar to saprotami, turklāt ar īstenošanas aktiem var tikt saprastas arī direktīvas un dalībvalstīm adresēti lēmumi, kas privātpersonām kļūst saistoši tikai pēc to pārņemšanas Latvijas tiesību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projekta 3. punktu vai izvērst skaidrojumus projekta anotācijā, nodrošinot pienācīgu Eiropas Parlamenta un Padomes 2024. gada 9. oktobra Direktīvas (ES) 2024/2749, ar ko groza Direktīvas 2000/14/EK, 2006/42/EK, 2010/35/ES, 2014/29/ES, 2014/30/ES, 2014/33/ES, 2014/34/ES, 2014/35/ES, 2014/53/ES un 2014/68/ES attiecībā uz iekšējā tirgus ārkārtas situācijas izraisītām atbilstības novērtēšanas, atbilstības prezumpcijas, kopēju specifikāciju pieņemšanas un tirgus uzraudzības ārkārtas procedūrām (turpmāk - Direktīva 2024/2749) 10. panta 2. punkta pārņemšanu. Direktīvas 2024/2749 10. panta 2. punkts (Eiropas Parlamenta un Padomes 2014. gada 15. maija Direktīvas 2014/68/ES par dalībvalstu tiesību aktu saskaņošanu attiecībā uz spiedieniekārtu pieejamību tirgū (turpmāk - Direktīva 2014/68) 43.c pants 5. punkts) noteic, ka spiedieniekārtu un to kompleksu ražotāji apliecina arī to, ka "ir atbildīgi par visu kompetentās valsts iestādes norādīto atbilstības novērtēšanas procedūru izpildi".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pārskatīt un nepieciešamības gadījumā precizēt anotācijas 5.4. apakšsadaļu, nolūkā nodrošināt korektu, pilnīgu un precīzu no Eiropas Savienības tiesību aktiem izrietošo saistību pārņemšanas atspoguļojumu,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Direktīvas 2024/2749 10. panta 2. apakšpunkts (Direktīvas 2014/68 43.b pants) nesatur Komisijai adresētas tiesību normas. Direktīvas 2014/68 43.b panta 1. punkts vispārīgi nosaka to, ka pantu piemēro visām spiedieniekārtām un to kompleksiem, kas uzskaitīti 43.a panta 1. punktā minētajā īstenošanas aktā, bet pats Komisijas pienākums izdot šo īstenošanas aktu izriet no citām tiesību normām un tiesību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 Direktīvu 2024/2749 tiek grozīta Direktīva 2014/68, attiecīgi nepieciešams precīzi atsaukties uz Eiropas Savienības tiesību normām, proti, iekavās norādīt korespondējošo tiesību normu, piemēram, šādi: 10. panta 2. apakšpunkts (Direktīvas 2014/68 43.b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atbilstoši projekta redakcijai tā 5. un 6. punkts pārņem arī Direktīvas2024/2749 11. panta 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nepieciešams skaidrot, kā tiks nodrošināta Direktīvas 2024/2749 prasību pārņemšana pilnībā, jo projekts pārņem tikai tās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atbilstoši skaidrojumam izziņas 2. punktā, saprotams, ka ne tikai projekta 3.punkts (Ministru kabineta 2016. gada 7. jūnija noteikumu Nr. 348 "Spiedieniekārtu un to kompleksu noteikumi" 396.</w:t>
            </w:r>
            <w:r w:rsidR="00000000" w:rsidRPr="00000000" w:rsidDel="00000000">
              <w:rPr>
                <w:vertAlign w:val="superscript"/>
                <w:rtl w:val="0"/>
              </w:rPr>
              <w:t xml:space="preserve">7</w:t>
            </w:r>
            <w:r w:rsidR="00000000" w:rsidRPr="00000000" w:rsidDel="00000000">
              <w:rPr>
                <w:rtl w:val="0"/>
              </w:rPr>
              <w:t xml:space="preserve"> punkts) pārņem 10. panta 2. apakšpunktu (Direktīvas 2014/68 43.c panta 1.-2.punkts), bet arī cits tiesību akts, no kura izriet kas saprotams ar norādāmo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26-TA-331</w:t>
    </w:r>
    <w:r>
      <w:br/>
    </w:r>
    <w:r w:rsidR="00000000" w:rsidRPr="00000000" w:rsidDel="00000000">
      <w:rPr>
        <w:rtl w:val="0"/>
      </w:rPr>
      <w:t xml:space="preserve">Izdrukāts 22.04.2026. 10.40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26-TA-331</w:t>
    </w:r>
    <w:r>
      <w:br/>
    </w:r>
    <w:r w:rsidR="00000000" w:rsidRPr="00000000" w:rsidDel="00000000">
      <w:rPr>
        <w:rtl w:val="0"/>
      </w:rPr>
      <w:t xml:space="preserve">Izdrukāts 22.04.2026. 10.40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Atzinumi_26-TA-331.docx</dc:title>
</cp:coreProperties>
</file>

<file path=docProps/custom.xml><?xml version="1.0" encoding="utf-8"?>
<Properties xmlns="http://schemas.openxmlformats.org/officeDocument/2006/custom-properties" xmlns:vt="http://schemas.openxmlformats.org/officeDocument/2006/docPropsVTypes"/>
</file>