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22-TA-1609: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Latvijas Republikas Uzņēmumu reģistru"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nav atbalstāma tādu likumprojektu pieņemšana, kuru īstenošana var netikt nodrošināta nepietiekamā finansējuma dēļ, līdz ar to Tieslietu ministrijai ir jāizvērtē iespējas likumprojektā noteikto normu izpildi nodrošināt tai piešķirto valsts budžeta līdzekļu ietvaros, atbilstoši precizējot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30.11.2022.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30.11.2022.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Atzinumi_22-TA-1609.docx</dc:title>
</cp:coreProperties>
</file>

<file path=docProps/custom.xml><?xml version="1.0" encoding="utf-8"?>
<Properties xmlns="http://schemas.openxmlformats.org/officeDocument/2006/custom-properties" xmlns:vt="http://schemas.openxmlformats.org/officeDocument/2006/docPropsVTypes"/>
</file>