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24-TA-761: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likumā "Par nodokļiem un nodevām""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iebildumu un priekšlikumu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šā likuma 17. panta pirmās daļas 1. punktā minētajā gadījumā, ja Valsts ieņēmumu dienesta ierēdnis ir izņēmis preču paraugus ekspertīzes veikšanai un izņemtās preces neatbilst pavaddokumentos norādītajai precei, segt ekspertīzes izdevumus piecu darbdienu laikā pēc izdevumus apliecinošu dokumentu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izlabot veikto atsauci uz šā likuma 17. panta pirmās daļas 1. punktu, jo 17. panta pirmajai daļai nav 1.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2.</w:t>
            </w:r>
            <w:r w:rsidR="00000000" w:rsidRPr="00000000" w:rsidDel="00000000">
              <w:rPr>
                <w:vertAlign w:val="superscript"/>
                <w:rtl w:val="0"/>
              </w:rPr>
              <w:t xml:space="preserve">1</w:t>
            </w:r>
            <w:r w:rsidR="00000000" w:rsidRPr="00000000" w:rsidDel="00000000">
              <w:rPr>
                <w:rtl w:val="0"/>
              </w:rPr>
              <w:t xml:space="preserve"> , 2.</w:t>
            </w:r>
            <w:r w:rsidR="00000000" w:rsidRPr="00000000" w:rsidDel="00000000">
              <w:rPr>
                <w:vertAlign w:val="superscript"/>
                <w:rtl w:val="0"/>
              </w:rPr>
              <w:t xml:space="preserve">2</w:t>
            </w:r>
            <w:r w:rsidR="00000000" w:rsidRPr="00000000" w:rsidDel="00000000">
              <w:rPr>
                <w:rtl w:val="0"/>
              </w:rPr>
              <w:t xml:space="preserve"> un 2.</w:t>
            </w:r>
            <w:r w:rsidR="00000000" w:rsidRPr="00000000" w:rsidDel="00000000">
              <w:rPr>
                <w:vertAlign w:val="superscript"/>
                <w:rtl w:val="0"/>
              </w:rPr>
              <w:t xml:space="preserve">3</w:t>
            </w:r>
            <w:r w:rsidR="00000000" w:rsidRPr="00000000" w:rsidDel="00000000">
              <w:rPr>
                <w:rtl w:val="0"/>
              </w:rPr>
              <w:t xml:space="preserve">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 2.</w:t>
            </w:r>
            <w:r w:rsidR="00000000" w:rsidRPr="00000000" w:rsidDel="00000000">
              <w:rPr>
                <w:vertAlign w:val="superscript"/>
                <w:rtl w:val="0"/>
              </w:rPr>
              <w:t xml:space="preserve">2</w:t>
            </w:r>
            <w:r w:rsidR="00000000" w:rsidRPr="00000000" w:rsidDel="00000000">
              <w:rPr>
                <w:rtl w:val="0"/>
              </w:rPr>
              <w:t xml:space="preserve"> un 2.</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pirmās daļas 8. punktā, piektajā, sestajā, septītajā, astotajā, devītajā, 9</w:t>
            </w:r>
            <w:r w:rsidR="00000000" w:rsidRPr="00000000" w:rsidDel="00000000">
              <w:rPr>
                <w:vertAlign w:val="superscript"/>
                <w:rtl w:val="0"/>
              </w:rPr>
              <w:t xml:space="preserve">1</w:t>
            </w:r>
            <w:r w:rsidR="00000000" w:rsidRPr="00000000" w:rsidDel="00000000">
              <w:rPr>
                <w:rtl w:val="0"/>
              </w:rPr>
              <w:t xml:space="preserve">, 9</w:t>
            </w:r>
            <w:r w:rsidR="00000000" w:rsidRPr="00000000" w:rsidDel="00000000">
              <w:rPr>
                <w:vertAlign w:val="superscript"/>
                <w:rtl w:val="0"/>
              </w:rPr>
              <w:t xml:space="preserve">2</w:t>
            </w:r>
            <w:r w:rsidR="00000000" w:rsidRPr="00000000" w:rsidDel="00000000">
              <w:rPr>
                <w:rtl w:val="0"/>
              </w:rPr>
              <w:t xml:space="preserve">, 9</w:t>
            </w:r>
            <w:r w:rsidR="00000000" w:rsidRPr="00000000" w:rsidDel="00000000">
              <w:rPr>
                <w:vertAlign w:val="superscript"/>
                <w:rtl w:val="0"/>
              </w:rPr>
              <w:t xml:space="preserve">3</w:t>
            </w:r>
            <w:r w:rsidR="00000000" w:rsidRPr="00000000" w:rsidDel="00000000">
              <w:rPr>
                <w:rtl w:val="0"/>
              </w:rPr>
              <w:t xml:space="preserve">, 9</w:t>
            </w:r>
            <w:r w:rsidR="00000000" w:rsidRPr="00000000" w:rsidDel="00000000">
              <w:rPr>
                <w:vertAlign w:val="superscript"/>
                <w:rtl w:val="0"/>
              </w:rPr>
              <w:t xml:space="preserve">4</w:t>
            </w:r>
            <w:r w:rsidR="00000000" w:rsidRPr="00000000" w:rsidDel="00000000">
              <w:rPr>
                <w:rtl w:val="0"/>
              </w:rPr>
              <w:t xml:space="preserve">, 9</w:t>
            </w:r>
            <w:r w:rsidR="00000000" w:rsidRPr="00000000" w:rsidDel="00000000">
              <w:rPr>
                <w:vertAlign w:val="superscript"/>
                <w:rtl w:val="0"/>
              </w:rPr>
              <w:t xml:space="preserve">5</w:t>
            </w:r>
            <w:r w:rsidR="00000000" w:rsidRPr="00000000" w:rsidDel="00000000">
              <w:rPr>
                <w:rtl w:val="0"/>
              </w:rPr>
              <w:t xml:space="preserve">, 9</w:t>
            </w:r>
            <w:r w:rsidR="00000000" w:rsidRPr="00000000" w:rsidDel="00000000">
              <w:rPr>
                <w:vertAlign w:val="superscript"/>
                <w:rtl w:val="0"/>
              </w:rPr>
              <w:t xml:space="preserve">7</w:t>
            </w:r>
            <w:r w:rsidR="00000000" w:rsidRPr="00000000" w:rsidDel="00000000">
              <w:rPr>
                <w:rtl w:val="0"/>
              </w:rPr>
              <w:t xml:space="preserve">, 9</w:t>
            </w:r>
            <w:r w:rsidR="00000000" w:rsidRPr="00000000" w:rsidDel="00000000">
              <w:rPr>
                <w:vertAlign w:val="superscript"/>
                <w:rtl w:val="0"/>
              </w:rPr>
              <w:t xml:space="preserve">8</w:t>
            </w:r>
            <w:r w:rsidR="00000000" w:rsidRPr="00000000" w:rsidDel="00000000">
              <w:rPr>
                <w:rtl w:val="0"/>
              </w:rPr>
              <w:t xml:space="preserve">, 9</w:t>
            </w:r>
            <w:r w:rsidR="00000000" w:rsidRPr="00000000" w:rsidDel="00000000">
              <w:rPr>
                <w:vertAlign w:val="superscript"/>
                <w:rtl w:val="0"/>
              </w:rPr>
              <w:t xml:space="preserve">6</w:t>
            </w:r>
            <w:r w:rsidR="00000000" w:rsidRPr="00000000" w:rsidDel="00000000">
              <w:rPr>
                <w:rtl w:val="0"/>
              </w:rPr>
              <w:t xml:space="preserve">, 9</w:t>
            </w:r>
            <w:r w:rsidR="00000000" w:rsidRPr="00000000" w:rsidDel="00000000">
              <w:rPr>
                <w:vertAlign w:val="superscript"/>
                <w:rtl w:val="0"/>
              </w:rPr>
              <w:t xml:space="preserve">9</w:t>
            </w:r>
            <w:r w:rsidR="00000000" w:rsidRPr="00000000" w:rsidDel="00000000">
              <w:rPr>
                <w:rtl w:val="0"/>
              </w:rPr>
              <w:t xml:space="preserve">, vienpadsmitajā, divpadsmitajā, trīspadsmitajā un četrpadsmitajā daļā vārdus “nodokļu administrācija” (attiecīgajā locījumā) ar vārdiem “Valsts ieņēmumu dienests”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8. punktā, piektajā, sestajā, septītajā, astotajā, devītajā, 9</w:t>
            </w:r>
            <w:r w:rsidR="00000000" w:rsidRPr="00000000" w:rsidDel="00000000">
              <w:rPr>
                <w:vertAlign w:val="superscript"/>
                <w:rtl w:val="0"/>
              </w:rPr>
              <w:t xml:space="preserve">1</w:t>
            </w:r>
            <w:r w:rsidR="00000000" w:rsidRPr="00000000" w:rsidDel="00000000">
              <w:rPr>
                <w:rtl w:val="0"/>
              </w:rPr>
              <w:t xml:space="preserve">, 9</w:t>
            </w:r>
            <w:r w:rsidR="00000000" w:rsidRPr="00000000" w:rsidDel="00000000">
              <w:rPr>
                <w:vertAlign w:val="superscript"/>
                <w:rtl w:val="0"/>
              </w:rPr>
              <w:t xml:space="preserve">2</w:t>
            </w:r>
            <w:r w:rsidR="00000000" w:rsidRPr="00000000" w:rsidDel="00000000">
              <w:rPr>
                <w:rtl w:val="0"/>
              </w:rPr>
              <w:t xml:space="preserve">, 9</w:t>
            </w:r>
            <w:r w:rsidR="00000000" w:rsidRPr="00000000" w:rsidDel="00000000">
              <w:rPr>
                <w:vertAlign w:val="superscript"/>
                <w:rtl w:val="0"/>
              </w:rPr>
              <w:t xml:space="preserve">3</w:t>
            </w:r>
            <w:r w:rsidR="00000000" w:rsidRPr="00000000" w:rsidDel="00000000">
              <w:rPr>
                <w:rtl w:val="0"/>
              </w:rPr>
              <w:t xml:space="preserve">, 9</w:t>
            </w:r>
            <w:r w:rsidR="00000000" w:rsidRPr="00000000" w:rsidDel="00000000">
              <w:rPr>
                <w:vertAlign w:val="superscript"/>
                <w:rtl w:val="0"/>
              </w:rPr>
              <w:t xml:space="preserve">4</w:t>
            </w:r>
            <w:r w:rsidR="00000000" w:rsidRPr="00000000" w:rsidDel="00000000">
              <w:rPr>
                <w:rtl w:val="0"/>
              </w:rPr>
              <w:t xml:space="preserve">, 9</w:t>
            </w:r>
            <w:r w:rsidR="00000000" w:rsidRPr="00000000" w:rsidDel="00000000">
              <w:rPr>
                <w:vertAlign w:val="superscript"/>
                <w:rtl w:val="0"/>
              </w:rPr>
              <w:t xml:space="preserve">5</w:t>
            </w:r>
            <w:r w:rsidR="00000000" w:rsidRPr="00000000" w:rsidDel="00000000">
              <w:rPr>
                <w:rtl w:val="0"/>
              </w:rPr>
              <w:t xml:space="preserve">, 9</w:t>
            </w:r>
            <w:r w:rsidR="00000000" w:rsidRPr="00000000" w:rsidDel="00000000">
              <w:rPr>
                <w:vertAlign w:val="superscript"/>
                <w:rtl w:val="0"/>
              </w:rPr>
              <w:t xml:space="preserve">6</w:t>
            </w:r>
            <w:r w:rsidR="00000000" w:rsidRPr="00000000" w:rsidDel="00000000">
              <w:rPr>
                <w:rtl w:val="0"/>
              </w:rPr>
              <w:t xml:space="preserve">, 9</w:t>
            </w:r>
            <w:r w:rsidR="00000000" w:rsidRPr="00000000" w:rsidDel="00000000">
              <w:rPr>
                <w:vertAlign w:val="superscript"/>
                <w:rtl w:val="0"/>
              </w:rPr>
              <w:t xml:space="preserve">7</w:t>
            </w:r>
            <w:r w:rsidR="00000000" w:rsidRPr="00000000" w:rsidDel="00000000">
              <w:rPr>
                <w:rtl w:val="0"/>
              </w:rPr>
              <w:t xml:space="preserve">, 9</w:t>
            </w:r>
            <w:r w:rsidR="00000000" w:rsidRPr="00000000" w:rsidDel="00000000">
              <w:rPr>
                <w:vertAlign w:val="superscript"/>
                <w:rtl w:val="0"/>
              </w:rPr>
              <w:t xml:space="preserve">8</w:t>
            </w:r>
            <w:r w:rsidR="00000000" w:rsidRPr="00000000" w:rsidDel="00000000">
              <w:rPr>
                <w:rtl w:val="0"/>
              </w:rPr>
              <w:t xml:space="preserve">, 9</w:t>
            </w:r>
            <w:r w:rsidR="00000000" w:rsidRPr="00000000" w:rsidDel="00000000">
              <w:rPr>
                <w:vertAlign w:val="superscript"/>
                <w:rtl w:val="0"/>
              </w:rPr>
              <w:t xml:space="preserve">9</w:t>
            </w:r>
            <w:r w:rsidR="00000000" w:rsidRPr="00000000" w:rsidDel="00000000">
              <w:rPr>
                <w:rtl w:val="0"/>
              </w:rPr>
              <w:t xml:space="preserve">, vienpadsmitajā, divpadsmitajā, trīspadsmitajā un četrpadsmitajā daļā vārdus “nodokļu administrācija” (attiecīgajā locījumā) ar vārdiem “Valsts ieņēmumu dienests” (attiecīgajā locījumā);"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izlabot tiesību akta projekta anotācijā veikto saīsinājumu "NNL", kas iepriekš nav ticis atrunāts, uz atrunāto saīsinājumu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likumā noteikts, ka minētās tiesības īstenojamas nodokļu administrēšanā, kas ietver Likuma 18.pantā uzskaitītos vairāk kā 36 nodokļu administrācijas pienākumus, VID likuma un citos likumos noteikto kompetenci nodokļu administrēšanā."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24-TA-761</w:t>
    </w:r>
    <w:r>
      <w:br/>
    </w:r>
    <w:r w:rsidR="00000000" w:rsidRPr="00000000" w:rsidDel="00000000">
      <w:rPr>
        <w:rtl w:val="0"/>
      </w:rPr>
      <w:t xml:space="preserve">Izdrukāts 14.05.2024.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24-TA-761</w:t>
    </w:r>
    <w:r>
      <w:br/>
    </w:r>
    <w:r w:rsidR="00000000" w:rsidRPr="00000000" w:rsidDel="00000000">
      <w:rPr>
        <w:rtl w:val="0"/>
      </w:rPr>
      <w:t xml:space="preserve">Izdrukāts 14.05.2024.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Atzinumi_24-TA-761.docx</dc:title>
</cp:coreProperties>
</file>

<file path=docProps/custom.xml><?xml version="1.0" encoding="utf-8"?>
<Properties xmlns="http://schemas.openxmlformats.org/officeDocument/2006/custom-properties" xmlns:vt="http://schemas.openxmlformats.org/officeDocument/2006/docPropsVTypes"/>
</file>