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7.1. un 7.4.sadaļas, ņemot vērā noteikumu projektā veiktās izmaiņas, kas attiecas arī uz Satiksmes ministriju un Vides aizsardzības un reģionālās attīstības ministriju.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