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 papildināt rīcības virzienu "STEM izglītība un prasmes" pasākumu "Sniegts finansiāls stimuls augstskolām un koledžām..." ar papildinājumu "izglītības iestādēm, kas īsteno profesionālās pilnveides mācību programmas", nodrošinot vienlīdzīgus konkurences apstākļus un garantējot efektīvu cilvēkkapitāla attīstības pieaugušo izglītības risinājumu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ieskatā nav pieļaujama konkurences kropļošana. Profesionālām mācību iestādēm ir ciešāka saikne ar darba devējiem un tās īsteno darba tirgū pieprasītas mācības. Augstskolas un koledžas ir akadēmiskāka vide. Pieejamos līdzekļus piedāvājam pārdalīt atbilstoši pieprasījumam tirgū, nevis dotēt darba devējiem neatbilstošas programmas, neatkarīgi no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stratēģijas projektā pārskatīt un veidot ilgtspējīgu skatījumu uz cilvēkkapitāla attīstības mērķiem. EM norāda izziņā "1) un 2) punkts ir ambiciozs mērķis, tomēr uzskatām, ka tādiem mērķiem ir jābūt.,", taču mērķiem, īpaši, ja tie ir ambiciozi, ir jābūt arī skaidram uzdevumu kopumam, kas attiecīgi ļauj šos mērķus sasniegt. Ja EM uzskata, ka, piemēram, IKP dubultošanos var sasniegt ar šī brīža rīcības plānā ietvertajiem pasākumiem, tad lūdzam papildināt ar ekspertu pieņēmumiem / pamatojumam katram iekļautajam pasākumam, kas ļauj prognozēt, ka šie rīcības virzieni ir efektīvākie un atbilstošākie. Pretējā gadījumā ambiciozitāte vairāk liecina par komunikācijas atslēgvārdu izmantošanu, nevis mērķtiecīgu plānu rīcībpolitikai.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EM izziņā norādīto informāciju, ka "..APIKK pienākums būs noteikt, izskatīt, apstiprināt un aktualizēt Ekonomikas ministrijas, Izglītības un zinātnes ministrijas un Labklājības ministrijas atbildībā esošo valsts budžeta, Eiropas Savienības Atveseļošanās fonda, Eiropas Sociālā fonda plus un Taisnīgas pārkārtošanās fonda finansēto pieaugušo izglītības pasākumu prioritāri atbalstāmās mērķa grupas, mācību virzienus un jomas, izglītības programmas vai plānotos mācību kursus, nepieciešamības gadījumā nosakot mācību apjomu un prioritāri apgūstamās profesionālās kvalifikācijas un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 , lūdzam papildināt, kādi resursi (informatīvie, plānošanas, atbalsta) būs komisijas locekļu rīcībā, lai īstenotu EM izziņā plānoto darba uzdevumu -  </w:t>
            </w:r>
            <w:r w:rsidR="00000000" w:rsidRPr="00000000" w:rsidDel="00000000">
              <w:rPr>
                <w:i w:val="1"/>
                <w:rtl w:val="0"/>
              </w:rPr>
              <w:t xml:space="preserve">EM sadarbībā ar ministrijām un sociālajiem partneriem veido pasūtījumu darba tirgus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atkārtoti izskatījis iesniegto stratēģijas projektu un atkārtoti iebilst pret stratēģijas dokumenta projektu, uzsverot, ka darba devēju pārstāvji uzskata konkrēto dokumentu par neilgtspējīgu un fragmentāru, dažādu ES fondu finansētu pasākumu apkopojumu un nav uzskatāms par stratēģisku cilvēkkapitāla attīstības redzējumu. Norādām, ka stratēģijas projektam jānosaka ietvars, kurā darbosies ne tikai Cilvēkkapitāla attīstības padome, bet visas iesaistītās institūcijas un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korekti attiecīgi izziņā norādīt, ka priekšlikumi vai iebildumi pēc būtības netiek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12.07.2024.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12.07.2024.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