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22. janvāra noteikumos Nr. 34 "Noteikumi par piesārņojošo vielu emisiju ūdenī"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22-TA-1992)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Prioritāro vielu un bīstamo vielu emisija virszemes ūdeņos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Latvijā akreditētās laboratorijas var noteikt visas šo noteikumu 1. un 2. pielikumā minētās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Iesniegumā atļaujas saņemšanai, tai skaitā būtisku darbības izmaiņu gadījumā, operators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veikt finanšu aplēsi par   sajaukšanās zonu aprēķinu veikšanas ietekmi uz ūdenssaimniecības tarifiem, un secīgi sabiedrību un uzņēmējdarbību.Rēķiniem par ūdenssaimniecības pakalpojumu saņemšanu jābūt samērīgiem un praktiski samaksājamaiem. Uzskatām, ka šim nolūkam jāparedz valsts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veikto sākotnējo sajaukšanās zonas aprēķinu pieņemošajos ūdeņos (virszemes  ūdensobjektā) lejpus prioritāro vielu vai bīstamo vielu punktveida izplūdes vietas, ja vienas vai vairāku minēto vielu koncentrācija notekūdeņu izplūdē pārsniedz ūdens aizsardzības normatīvajos aktos noteiktos vides kvalitātes normatīvus. Veiktajam aprēķinam pievieno izmantotos datus un aprēķinu rezultātus, pamatojot tos ar atbilstošiem dokumentiem - akreditētas laboratorijas testēšanas rezultātiem, ieskaitot testēšanas rezultātus par attiecīgu prioritāro vai bīstamo vielu fona koncentrācijām virszemes ūdensobjektā, un oficiālu izziņu no komersanta par virszemes ūdensobjektu raksturojošo hidroloģisko parametru mērījumiem, kuri nepieciešami sākotnējās sajaukšanās zonas aprēķinam. Sākotnējo sajaukšanās zonas novērtējumu veic, pamatojoties uz Eiropas Komisijas tehniskajām pamatnostādnēm sajaukšanās zonas noteikšanai. Dienests tehniskās pamatnostādnes sajaukšanās zonu noteikšanai publicē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kas šādus aprēķinus var veikt, kur un kā iegūstami virszemes ūdensobjektu raksturojošie hidroloģiskie parametri.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Vietējā pašvaldība līdz 2023. gada 31. decembrim un pēc tam ne retāk kā reizi septiņos gados izvērtē tās administratīvajā teritorijā esošo aglomerāciju robežas, ņemot vērā tehniskās un ekonomiskās iespējas veikt esošās centralizētās kanalizācijas sistēmas paplašināšanu vai jaunas centralizētās kanalizācijas sistēmas izbūvi, un pēc nepieciešamības precizē aglomerācijas robežas, pamatojoties uz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visās pašvaldībās nodrošinātu vienotu pieeju, izpildot augstākminēto normu, lūdzam izvērtēt iespēju noteikumu projektā  iekļaut vienotus aglomerācijas noteikšanas kritērijus vai arī papildus  izstrādāt vienotu aglomerāciju robežu noteikšanas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Ja aglomerācijās, kurās cilvēku ekvivalents ir lielāks par 2000, notekūdeņu savākšanai un attīrīšanai izmanto rūpnieciski izgatavotas notekūdeņu attīrīšanas iekārtas, kuras attīrītos notekūdeņus novada vidē un kuru kopējā jauda ir mazāka par 5 m</w:t>
            </w:r>
            <w:r w:rsidR="00000000" w:rsidRPr="00000000" w:rsidDel="00000000">
              <w:rPr>
                <w:vertAlign w:val="superscript"/>
                <w:rtl w:val="0"/>
              </w:rPr>
              <w:t xml:space="preserve">3</w:t>
            </w:r>
            <w:r w:rsidR="00000000" w:rsidRPr="00000000" w:rsidDel="00000000">
              <w:rPr>
                <w:rtl w:val="0"/>
              </w:rPr>
              <w:t xml:space="preserve">/diennaktī, iekārtu īpašnieks vai valdītājs nodrošina notekūdeņu atbilstību vismaz šo noteikumu 5. pielikuma 1. tabulā un 9.</w:t>
            </w:r>
            <w:r w:rsidR="00000000" w:rsidRPr="00000000" w:rsidDel="00000000">
              <w:rPr>
                <w:vertAlign w:val="superscript"/>
                <w:rtl w:val="0"/>
              </w:rPr>
              <w:t xml:space="preserve">1</w:t>
            </w:r>
            <w:r w:rsidR="00000000" w:rsidRPr="00000000" w:rsidDel="00000000">
              <w:rPr>
                <w:rtl w:val="0"/>
              </w:rPr>
              <w:t xml:space="preserve"> punktā noteiktajām prasībām, kas noteiktas tās piesārņojuma slodzes kategorijas aglomerācijām, kurā atrodas konkrētās attīrīšanas iekārtas.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Decentralizēto kanalizācijas sistēmu apsaimniekošanu un kontroli cita starpā nosaka 2017. gada 27. jūnija Ministru kabineta noteikumi Nr.384 ”Noteikumi par decentralizēto kanalizācijas sistēmu apsaimniekošanu un reģistrēšanu” uz kuru pamata savukārt pašvaldības izdod (ir izdevušas) pašvaldību saistošos noteikumus decentralizēto kanalizācijas sistēmu reģistrēšanai, uzraudzībai un asenizatoru kontrolei. Atsevišķās pašvaldībās (piem., Rīgas, Jūrmalas) jau šobrīd izdotajos saistošajos noteikumos ir noteiktas prasības vidē novadāmo notekūdeņu kvalitātei, kas ir augstākas par 2002.gada 22.janvāra Ministru kabineta noteikumos Nr.34 “Noteikumi par piesārņojošo vielu emisiju ūdenī“ (turpmāk – Noteikumi Nr.34) 5.pielikuma 1.tabulā noteiktajām prasībām. Pašvaldību saistošajos noteikumos noteiktas prasības ne tikai Bioķīmiskā skābekļa patēriņa, Ķīmiskā skābekļa patēriņa un suspendēto vielu daudzuma novadāmajos notekūdeņos robežvērtības, bet noteiktas arī emisiju robežvērtības kopējam fosforam un kopējam slāpeklim, atbilstoši aglomerācijas lielumam (cilvēkekevivalentam). Tas kopumā atbilst direktīvas Nr.91/271/EEK pamatmērķim – samazināt uz vidi radīto notekūdeņu slodzi un ietekmi. Esošā grozījumu redakcija pieļaus situāciju, ka aglomerācijās, kur iedzīvotāju ekvivalents ir lielāks par 100 000 tūkstošiem (Rīga, Daugavpils) individuālajām attīrīšanas iekārtām ar attīrīto notekūdeņu jaudu mazāku par 5m3 diennaktī, kuru izmantošanai nav jāsaņem piesārņojošo darbību atļauja vai apliecinājums, netiek vispār noteiktas prasības kopējā fosfora un kopējā slāpekļa limitiem novadīšanai vidē, tā kā Noteikumu Nr.34 5.pielikuma 1.tabulā nav noteikti limiti fosfora un slāpekļa attīrīšanai notekūdeņos (šādi limiti noteikti 2.tabulā). Šobrīd Rīgas pilsēta prasības vidē novadāmo notekūdeņu kvalitātei jau ir noteikusi pašvaldības saistošajos noteikumos, kuri reglamentē decentralizēto kanalizācijas sistēmu apsaimniekošanu un asenizācijas pakalpojumu sniegšanu. Attiecīgi grozījums paredzētu pienākumu emisiju radītajam ievērot ne tikai Noteikumos Nr.34 noteiktās prasības, bet arī pašvaldības saistošajos noteikumos noteiktās prasības, ja tādas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aglomerācijās, kurās cilvēku ekvivalents ir lielāks par 2000, notekūdeņu savākšanai un attīrīšanai izmanto rūpnieciski izgatavotas notekūdeņu attīrīšanas iekārtas, kuras attīrītos notekūdeņus novada vidē un kuru kopējā jauda ir mazāka par 5 m3/diennaktī, iekārtu īpašnieks vai valdītājs nodrošina notekūdeņu atbilstību vismaz šo noteikumu 5. pielikuma 1. tabulā un 9.1 punktā noteiktajām prasībām, kas noteiktas tās piesārņojuma slodzes kategorijas aglomerācijām, kurā atrodas konkrētās attīrīšanas iekārtas </w:t>
            </w:r>
            <w:r w:rsidR="00000000" w:rsidRPr="00000000" w:rsidDel="00000000">
              <w:rPr>
                <w:b w:val="1"/>
                <w:rtl w:val="0"/>
              </w:rPr>
              <w:t xml:space="preserve">vai atbilstību citos normatīvajos aktos noteiktajai attīrīšanas kvalitātei.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1.1.3. un 1.1.2. apakšpunktiem - Dienestam, pārskatot un izsniedzot uzņēmumiem A un B kategorijas atļaujas par bīstamo un prioritāro vielu novadīšanu centralizētajā kanalizācijas sistēmā, vajadzētu sniegt Operatoram informāciju par šādiem uzņēmumiem, proti, pievienot monitoringa programmai nepieciešamās prioritārās un bīstamās vielas par tiem uzņēmumiem, kuriem ir izsniedzis A vai B atļaujas apkalpojamajā teritorijā, vai paziņot operatoram par konkrēto vielu iespējamību saistībā ar izsniegtajām atļaujām operatora darbības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22-TA-1992</w:t>
    </w:r>
    <w:r>
      <w:br/>
    </w:r>
    <w:r w:rsidR="00000000" w:rsidRPr="00000000" w:rsidDel="00000000">
      <w:rPr>
        <w:rtl w:val="0"/>
      </w:rPr>
      <w:t xml:space="preserve">Izdrukāts 26.10.2022.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22-TA-1992</w:t>
    </w:r>
    <w:r>
      <w:br/>
    </w:r>
    <w:r w:rsidR="00000000" w:rsidRPr="00000000" w:rsidDel="00000000">
      <w:rPr>
        <w:rtl w:val="0"/>
      </w:rPr>
      <w:t xml:space="preserve">Izdrukāts 26.10.2022.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Atzinumi_22-TA-1992.docx</dc:title>
</cp:coreProperties>
</file>

<file path=docProps/custom.xml><?xml version="1.0" encoding="utf-8"?>
<Properties xmlns="http://schemas.openxmlformats.org/officeDocument/2006/custom-properties" xmlns:vt="http://schemas.openxmlformats.org/officeDocument/2006/docPropsVTypes"/>
</file>