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Papildināt likuma 11. pantu ar četrpadsmito, piecpadsmito un sešpadsmito daļu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“(14) Attaisnojuma dokumentu, kuru uzņēmums izsniedz citam Latvijas Republikas reģistrētam uzņēmumam, kas ir preču vai pakalpojumu saņēmējs, samaksāšanai (rēķinu) noformē kā strukturētu elektronisko rēķinu.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(15) Šā panta četrpadsmitajā daļā minētie uzņēmumi vienojas par strukturēta elektroniskā rēķina Ministru kabinetā noteiktajiem piegādes kanāliem. Ministru kabinets nosaka strukturēta elektroniskā rēķina aprites kārtību.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(16) Atkāpties no šā panta četrpadsmitajā daļā noteiktās prasības par strukturēta elektroniskā rēķina noformēšanu var: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uzņēmumi par darījumiem, kad samaksu apliecina ar darījumus apliecinošu dokumentu veidu, kas sagatavojams saskaņā ar normatīvajiem aktiem, kuri reglamentē nodokļu un citu maksājumu reģistrēšanas elektronisko ierīču un iekārtu lietošanas kārtību;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uzņēmumi par darījumiem, kad samaksu apliecina ar attaisnojuma dokumentu (rēķinu), kas sagatavots un ģenerēts Nacionālā veselības dienesta Vadības informācijas sistēmā;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valsts drošības iestādes par iestādes elektroniskajā apritē sagatavoto attaisnojuma dokumentu.”.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likumprojekta 3. pantā ietverto Grāmatvedības likuma 11.panta sešpadsmitās daļas 3.punktu, iekļaujot  tajā arī operatīvās darbības subjektu, Valsts policijas finansiāli patstāvīgo struktūrvienību- Valsts policijas Galvenās kriminālpolicijas pārvaldes Izmeklēšanas atbalsta pārvaldi.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Dina Stepanova (VP)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Grāmatvedības likumā (Latvijas Vēstnesis, 2021, Nr. 121B)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Pirms strukturētu elektronisko rēķinu aprites uzsākšanas, būtu lietderīgi izstrādāt vienotu preču un pakalpojumu nomenklatūru valstī, lai izvairītos no dažādiem komersantiem iegādāto vienādu preču/pakalpojumu nosaukumu daudzveidības (t.i., vienai precei jābūt ar vienu nosaukumu).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Turklāt norādām, ka strukturētu elektronisko rēķinu ieviešana radīs papildu finansiālo slogu iestādei.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Ilanta Balcere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03.07.2024.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03.07.2024.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