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29.13. nodrošina komunikācijas un vizuālās identitātes pasākumus saskaņā ar regulas Nr. 2021/1060 47. pantu un 50. pantu, normatīvajiem aktiem, kas nosaka kārtību, kādā Eiropas Savienības fondu vadībā iesaistītās institūcijas nodrošina šo fondu ieviešanu 2021. – 2027. gada plānošanas periodā un ievērojot Eiropas Savienības fondu 2021. – 2027. gada plānošanas perioda un Atveseļošanas fonda komunikācijas un dizaina vadlīnijas;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noteikumu projekta 29.13. apakšpunktā norādīta atsauce uz nesaistošiem dokumentiem (vadlīnijām). Ņemot vērā minēto, lūdzam noteikumu projektā svītrot atsauces uz nesaistošiem dokumentiem (vadlīnijām) un minēto informāciju lūdzam norādīt noteikumu projekta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nodrošina komunikācijas un vizuālās identitātes pasākumus saskaņā ar regulas Nr. 2021/1060 47. pantu un 50. pantu, normatīvajiem aktiem, kas nosaka kārtību, kādā Eiropas Savienības fondu vadībā iesaistītās institūcijas nodrošina šo fondu ieviešanu 2021. – 2027. gada plānošanas periodā;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12.06.2024. 23.41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12.06.2024. 23.41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