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23-TA-1682: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20. decembra noteikumos Nr. 812 "Oficiālās statistikas veidlapu paraugu apstiprināšanas un veidlapu aizpildīšanas un iesniegšanas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apakšpunkta norādi uz grozījumiem Ministru kabineta 2016. gada 20. decembra noteikumu Nr. 812 "Oficiālās statistikas veidlapu paraugu apstiprināšanas un veidlapu aizpildīšanas un iesniegšanas noteikumi" 2.754. apakšpunktu. Vēršam uzmanību, ka minētajos noteikumos nav 2.754.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anotācijā sniegtās norādes attiecībā uz Padomes 1998. gada 19. maija Regulas (EK) Nr. 1165/98 par īstermiņa statistiku un Eiropas Parlamenta un Padomes 2005. gada 6. jūlija Regulas (EK) Nr. 1158/2005, ar ko groza Padomes Regulu (EK) Nr. 1165/98 par īstermiņa statistiku atsauču svītrošanu no noteikumiem, ņemot vērā, ka abas regulas joprojām ir spēkā esošas un, atbilstoši sniegtajam skaidrojumam, spēku zaudēs tikai 2024. gada 1. janvārī. Lūdzam skaidrot, kāpēc paredzēta tik savlaicīga atsauču svītrošana, norādīt atcelšanas pamatojumu, kā arī uzsvērt, vai tik savlaicīgai atsauču svītrošanai nav potenciāls risks ar no abām regulām izrietošo saistību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1.3. apakšpunkta papildinājumos ietverto norādi uz to, ka ar projekta 37. un 73. punktu ieviesto datu vākšanas nepieciešamību nosaka Granta līgums “Jauna transporta statistikas izstrāde”, (Granta līguma Nr. 101119289 — 2022-LV-TRANSPORT, projekta identifikācijas kods G-23.01, kas noslēgts ar EUROSTAT, iesakām izvērtēt vai anotācijas 5. daļa nav papildināma ar skaidrojumu par projekta atbilstību starptautiskajām saistībām, kas izriet no konkrētā līguma.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lūdzam veikt vajadzīgos labojumus, papildinājumus.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5.4. apakšpunkta "Komisijas 2022. gada 10. oktobra Deleģētā Regula (ES) Nr. 2023/137 ar kuru groza Eiropas Parlamenta un Padomes Regulu (EK) Nr. 1893/2006, ar ko izveido NACE 2. red. saimniecisko darbību statistisko klasifikāciju (Dokuments attiecas uz EEZ)" sadaļas pirmās divas B ailes, kur </w:t>
            </w:r>
            <w:r w:rsidR="00000000" w:rsidRPr="00000000" w:rsidDel="00000000">
              <w:rPr>
                <w:u w:val="single"/>
                <w:rtl w:val="0"/>
              </w:rPr>
              <w:t xml:space="preserve">norādītas, ka tiek ieviesti anotācijas punkti</w:t>
            </w:r>
            <w:r w:rsidR="00000000" w:rsidRPr="00000000" w:rsidDel="00000000">
              <w:rPr>
                <w:rtl w:val="0"/>
              </w:rPr>
              <w:t xml:space="preserve">. Vēršam uzmanību, ka attiecīgajās ailēs norādāmas projekta vienības, kas ievieš A ailē minēto tiesību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papildināt anotācijas 5. daļu. Ņemot vērā izziņā sniegto skaidrojumu par to, ka uzskaitītās Eiropas Savienības tiesību normas ir ieviestas ar citos gados šajos noteikumos veiktajiem grozījumiem, līdz ar to nav nepieciešams tās norādīt anotācijas 5. daļā, iesakām ieviest analoģisku precizējumu anotācijas 5. daļas tabulas "Eiropas Parlamenta un Padomes 2019. gada 27. novembra Regula(ES) Nr. 2019/2152 par Eiropas uzņēmējdarbības statistiku, ar ko atceļ 10 tiesību aktus uzņēmējdarbības statistikas jomā" sadaļas papildinājumam, uzsverot, ka iepriekš ieviestās regulas vienības netiek mainītas, ietekmētas vai nepārņemtas.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23-TA-1682</w:t>
    </w:r>
    <w:r>
      <w:br/>
    </w:r>
    <w:r w:rsidR="00000000" w:rsidRPr="00000000" w:rsidDel="00000000">
      <w:rPr>
        <w:rtl w:val="0"/>
      </w:rPr>
      <w:t xml:space="preserve">Izdrukāts 04.10.2023. 14.25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23-TA-1682</w:t>
    </w:r>
    <w:r>
      <w:br/>
    </w:r>
    <w:r w:rsidR="00000000" w:rsidRPr="00000000" w:rsidDel="00000000">
      <w:rPr>
        <w:rtl w:val="0"/>
      </w:rPr>
      <w:t xml:space="preserve">Izdrukāts 04.10.2023. 14.25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Atzinumi_23-TA-1682.docx</dc:title>
</cp:coreProperties>
</file>

<file path=docProps/custom.xml><?xml version="1.0" encoding="utf-8"?>
<Properties xmlns="http://schemas.openxmlformats.org/officeDocument/2006/custom-properties" xmlns:vt="http://schemas.openxmlformats.org/officeDocument/2006/docPropsVTypes"/>
</file>