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Mājas (istabas) dzīvnieka atsavināšanas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Grūsnu mājas (istabas) dzīvnieku, suni, kaķi un mājas (istabas) sesku neatsavina specializētai tirdzniecības vietai saskaņā ar normatīvajiem aktiem par prasībām mājas (istabas) dzīvnieku specializētajām tirdzniecības vietām un to reģistrācijas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"Prasības mājas (istabas) dzīvnieku specializētajām tirdzniecības vietām un to reģistrācijas kārtība" (23-TA-3121) (turpmāk – noteikumu projekts 23-TA-3121) 26. punkts jau paredz, ka tirdzniecības vietā tirdzniecībai nepieņem grūsnu dzīvnieku, suni, kaķi un mājas (istabas) sesku, līdz ar to saskaņā ar Ministru kabineta 2009. gada 3. februāra noteikumu Nr. 108 "Normatīvo aktu projektu sagatavošanas noteikumi" 3.2. apakšpunktu, lūdzam no projekta svītrot 5. punktu, jo tas dublē noteikumu projekta 23-TA-3121 26.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mikroshēmas numurs, bet sunim, kaķim vai mājas (istabas) seskam, kas ir jaunāks par 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un </w:t>
            </w:r>
            <w:r w:rsidR="00000000" w:rsidRPr="00000000" w:rsidDel="00000000">
              <w:rPr>
                <w:rtl w:val="0"/>
              </w:rPr>
              <w:t xml:space="preserve">3.5. </w:t>
            </w:r>
            <w:r w:rsidR="00000000" w:rsidRPr="00000000" w:rsidDel="00000000">
              <w:rPr>
                <w:rtl w:val="0"/>
              </w:rPr>
              <w:t xml:space="preserve">apakšpunktā</w:t>
            </w:r>
            <w:r w:rsidR="00000000" w:rsidRPr="00000000" w:rsidDel="00000000">
              <w:rPr>
                <w:rtl w:val="0"/>
              </w:rPr>
              <w:t xml:space="preserve">, minēto vecumu, mātes mikroshēmas numurs, kā arī tīmekļvietnes adrese, kurā iespējams pārliecināties par reģistrāciju mājas (istabas) dzīvnieku reģistra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8.4. apakšpunktu, paredzot, ka sludinājumā norāda suņa, kaķa vai mājas (istabas) seska mikroshēmas numuru. Vienlaikus lūdzam izstrādāt regulējumu attiecībā uz tiem dzīvniekiem, kaķiem un mājas (istabas) seskiem, kuriem nav mikroshēmas, jo grozījumi Veterinārmedicīnas likumā, ar kuriem kaķa un mājas (istabas) seska īpašniekam vai turētājam ir pienākums nodrošināt dzīvnieka apzīmēšanu ar mikroshēmu, stāsies spēkā 2024. gada 1. jūlijā.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23-TA-1261</w:t>
    </w:r>
    <w:r>
      <w:br/>
    </w:r>
    <w:r w:rsidR="00000000" w:rsidRPr="00000000" w:rsidDel="00000000">
      <w:rPr>
        <w:rtl w:val="0"/>
      </w:rPr>
      <w:t xml:space="preserve">Izdrukāts 09.04.2024.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23-TA-1261</w:t>
    </w:r>
    <w:r>
      <w:br/>
    </w:r>
    <w:r w:rsidR="00000000" w:rsidRPr="00000000" w:rsidDel="00000000">
      <w:rPr>
        <w:rtl w:val="0"/>
      </w:rPr>
      <w:t xml:space="preserve">Izdrukāts 09.04.2024.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Atzinumi_23-TA-1261.docx</dc:title>
</cp:coreProperties>
</file>

<file path=docProps/custom.xml><?xml version="1.0" encoding="utf-8"?>
<Properties xmlns="http://schemas.openxmlformats.org/officeDocument/2006/custom-properties" xmlns:vt="http://schemas.openxmlformats.org/officeDocument/2006/docPropsVTypes"/>
</file>