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automātisko informācijas apmaiņu par darījumiem ar kriptoaktīviem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ziņojošais kriptoaktīvu pakalpojumu sniedzējs attiecībā uz vienību, kas izmanto kriptoaktīvus, vai tās kontrolējošajām personām ir konstatējis apstākļu izmaiņas, kā rezultātā uzzina vai tam ir pamats zināt, ka sākotnējais apliecinājums ir nepareizs vai nepatiess, ziņojošais kriptoaktīvu pakalpojumu sniedzējs nevar paļauties uz sākotnējo apliecinājumu un tam ir jāiegūst jauns apliecinājums vai pamatots paskaidrojums un attiecīgā gadījumā dokumentācija, kas pamato sākotnējā apliecinājuma derīgumu.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24. punktā ietverto skaidrojumu, lūdzam vienveidot izteiksmi un direktīvā lietotās terminoloģijas konsekventai pārņemšanai aizstāt vārdu "derīgumu" ar terminu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Ziņojošais kriptoaktīvu pakalpojumu sniedzējs šo noteikumu 3.2. apakšnodaļā minēto informāciju iesniedz Valsts ieņēmumu dienestam, izmantojot Valsts ieņēmumu dienesta elektroniskās deklarēšanas sistēmu līdz pārskata periodam sekojošā gada 30. jūnijam. Attiecīgais ziņojošais kriptoaktīvu pakalpojumu sniedzējs šo informāciju sagatavo un elektroniski iesniedz Valsts ieņēmumu dienestam strukturētā formā. Attiecīgā informācija tiek uzskatīta par iesniegtu Valsts ieņēmumu dienestam tikai tad, ja tā tiek validēta.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vai tā anotācijā precīzāk skaidrot prasību informācijas sniegšanai strukturētā formā, kas pirmšķietami var būt plaši interpretējama, apdraudot konkrētās normas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Ziņošana notiek, izmantojot Ekonomiskās sadarbības un attīstības organizācijas izstrādāto datu apmaiņas formātu, kas ir pieejams Ekonomiskās sadarbības un attīstības organizācijas tīmekļvietnē, kā arī ņemot vērā formātu un nosacījumus, kas pieņemti ar Eiropas Komisijas izdotajiem īstenošanas aktiem starptautiskās administratīvās sadarbības jomā, deviņu mēnešu laikā pēc tā kalendārā gada beigām, uz kuru attiecas ziņošanas prasības, kas piemērojamas ziņojošajiem kriptoaktīvu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īstenošanas akti var būt arī direktīvas vai lēmumi, tomēr noteikumu projektā atsauces pieļaujamas vienīgi uz tieši piemērojamiem Eiropas Savienības normatīvajiem aktiem (regulām),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Ziņojošais kriptoaktīvu pakalpojumu sniedzējs reģistrē veiktos pasākumus un visu informāciju, kas izmantota šo noteikumu 2. un 3. nodaļā noteikto pienācīgas pārbaudes procedūru un ziņošanas prasību izpildei. Šāds reģistrs ir pieejams ne mazāk kā piecus gadus, bet ne vairāk kā 10 gadus pēc tā pārskata perioda beigām, uz kuru tas attiecas. Šajā punktā noteiktajās robežās konkrētu reģistra pieejamības termiņu nosaka attiecīgais ziņojošais kriptoaktīvu pakalpojumu sniedzējs, ņemot vērā objektīvus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Vispārīgajā datu aizsardzības regulā nostiprinātos godprātības un pārredzamības principus, aicinām noteikt, ka reģistrs ir pieejams piecus gadus pēc pārskata perioda beigām. Ja pastāv objektīvi apstākļi, termiņš var tikt pagarināts, bet ne ilgāk kā līdz 10 gadiem pēc pārskata perioda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Ziņojošais kriptoaktīvu pakalpojumu sniedzējs reģistrē veiktos pasākumus un visu informāciju, kas izmantota šo noteikumu 2. un 3. nodaļā noteikto pienācīgas pārbaudes procedūru un ziņošanas prasību izpildei. Šāds reģistrs ir pieejams piecus gadus. Ja pastāv objektīvi apstākļi, reģistra pieejamības termiņš var tikt pagarināts, bet ne ilgāk kā līdz 10 gadiem pēc tā pārskata perioda beigām, uz kuru tas 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Padomes 2023. gada 17. oktobra direktīvas (ES) 2023/2226, ar ko groza Direktīvu 2011/16/ES par administratīvu sadarbību nodokļu jomā, 1. panta 6. punkta (grozītās direktīvas 8. ad panta 3. punkta “c” apakšpunkta otrās, trešās un ceturtās daļas)(sal. sk. noteikumu projekta 31.-33.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19.11.2025.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19.11.2025.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Atzinumi_25-TA-1390.docx</dc:title>
</cp:coreProperties>
</file>

<file path=docProps/custom.xml><?xml version="1.0" encoding="utf-8"?>
<Properties xmlns="http://schemas.openxmlformats.org/officeDocument/2006/custom-properties" xmlns:vt="http://schemas.openxmlformats.org/officeDocument/2006/docPropsVTypes"/>
</file>