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pieejamību, attīstot kultūras pakalpojumus"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36.3.1. esošas būves, tai skaitā kultūras mantojuma objekta sasniedzamību un pieejamību nodrošinošās infrastruktūras (satiksmes pārvadi, ielas un ar tām saistītā infrastruktūra, gājēju ceļi, gājēju tilti, labiekārtoti laukumi ar segumu, kāpnes, apgaismojums), atjaunošana, konservācija, pārbūve vai restaurācija un ar to saistītās publiskās ārtelpas attīstība;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36.3.1. apakšpunktā izvērtēt pieturzīmes iekavas lietojumu. Iekavu lietošana var padarīt tiesību normu neskaidru un apgrūtināt tās viennozīmīgu uztveri. Norādām, ka iekavās ietvertais teksts var ne tikai padarīt tiesību aktu neskaidru, bet var arī sašaurināt vai paplašināt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36.3.2. jaunas būves, tai skaitā kultūras mantojuma objekta sasniedzamību un pieejamību nodrošinošās infrastruktūras (satiksmes pārvadi, ielas un ar tām saistītā infrastruktūra, gājēju ceļi, gājēju tilti, labiekārtoti laukumi ar segumu, kāpnes, apgaismojums, ārtelpas elementi), būvniecība un ar to saistītās publiskās ārtelpas attīstība;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36.3.1. apakšpunktā izvērtēt pieturzīmes iekavas lietojumu. Iekavu lietošana var padarīt tiesību normu neskaidru un apgrūtināt tās viennozīmīgu uztveri. Norādām, ka iekavās ietvertais teksts var ne tikai padarīt tiesību aktu neskaidru, bet var arī sašaurināt vai paplašināt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49.3. projekta uzraudzību visā projekta pārskata periodā (projekta dzīves cikla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normatīvajā aktā nelieto sinonīmus un vienu lietu konsekventi sauc vienā un tajā pašā vārdā. Tāpat atbilstoši juridiskās tehnikas prasībām, termins ir jālieto vienā nozīmē, un tas nav aizstājams ar sinonīmiem. Ievērojot minēto, lūdzam visā noteikumu projektā svītrot iekavas un vārdus “projekta dzīves cikla laikā” un "projekta dzīves cikla".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20.06.2023. 21.43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20.06.2023. 21.43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Atzinumi_23-TA-1256.docx</dc:title>
</cp:coreProperties>
</file>

<file path=docProps/custom.xml><?xml version="1.0" encoding="utf-8"?>
<Properties xmlns="http://schemas.openxmlformats.org/officeDocument/2006/custom-properties" xmlns:vt="http://schemas.openxmlformats.org/officeDocument/2006/docPropsVTypes"/>
</file>