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Meža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Kokmateriālu ražotāju un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grozījumus, jo tie ietver trīs svarīgas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samazināts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noteikti ekonomiski pamatoti ciršanas vecumi, kas gan ļauj samazināt "vecuma" radītus lietkoksnes kvalitātes zuduma riskus (piemēram, pieredze rāda, ka apsē būtiski palielinās trupes riski pēc 30 gadu vecuma), gan joprojām saglabā mežsaimniecības mērķi orientēties uz tādām sortimentu dimensijām, kas atbilst zāģbaļķu un finierkluču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novērsti riski, ka legāli nozāģēts malkas baļķis pēkšņi dēļ citu normatīvo aktu prasībām tiek interpretēts kā "nelegāls" daļā no Latvijas centralizētās siltumapgādes. Šobrīd šādi mēģinājumi notiek, piemēram, plaši interpretējot RED prasību pārņemšanu Latvijas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vai šie grozījumi nepamatoti nesamazina rīcības brīvību ārkārtas situācijās. Mūsprāt, ir jāsaglabā palīgteikums, kas ir šā brīža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ciršana mežā ir aizliegta, ja nav veikta meža inventarizācija normatīvajos aktos par meža inventarizāciju noteiktajā kārtībā, izņemot šā panta trešajā daļā minētos gadījumus, kā arī gadījumus, kad tiek veikta sauso, bojāto un vēja gāzto koku ciršana normatīvajos aktos par koku ciršanu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Atzinumi_25-TA-2086.docx</dc:title>
</cp:coreProperties>
</file>

<file path=docProps/custom.xml><?xml version="1.0" encoding="utf-8"?>
<Properties xmlns="http://schemas.openxmlformats.org/officeDocument/2006/custom-properties" xmlns:vt="http://schemas.openxmlformats.org/officeDocument/2006/docPropsVTypes"/>
</file>