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tehniskās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(RSU iesniegti priekšlikumi un iebildumi ārējo automātisko defibrilatoru uzstādīšanas, ekspluatācijas, uzraudzības kārtībai)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šo noteikumu </w:t>
            </w:r>
            <w:r w:rsidR="00000000" w:rsidRPr="00000000" w:rsidDel="00000000">
              <w:rPr>
                <w:rtl w:val="0"/>
              </w:rPr>
              <w:t xml:space="preserve">6.4.</w:t>
            </w:r>
            <w:r w:rsidR="00000000" w:rsidRPr="00000000" w:rsidDel="00000000">
              <w:rPr>
                <w:rtl w:val="0"/>
              </w:rPr>
              <w:t xml:space="preserve"> apakšpunktā minētās pārbaudes veic vismaz reizi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6.7. punktā piedāvāto pārbaužu veikšanas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tiesību akta projekta izziņā norādīts, ka vidējais defibrilatora garantijas laiks ir četri līdz astoņi gadi, atkarībā no ražotāja. Ja katru mēnesi jāveic vizuālā apskate un tā jāatspoguļo pārbaudes žurnālā, tā ir nesamērīga prasība un rada ievērojamu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defibrilatora salīdzinoši garo garantijas laiku, būtu piemērojamas retākas vizuālās pārbaudes, piemēram, vienu reizi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šo noteikumu 6.4. apakšpunktā minētās pārbaudes veic vismaz reizi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01.12.2023. 23.06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01.12.2023. 23.06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