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25-TA-1530: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atbilde Latvijas Republikas Tiesībsargam par nekustamo īpašumu apgrūtinājumu un kompensāciju sistēmas pilnveidi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vēstuli par Tiesībsarga biroja uzdevumā veiktu SIA "Zvērinātu advokātu birojs Šķiņķis Pētersons" pētījumu "Nekustamā īpašuma apgrūtinājumu un kompensāciju kartēšana". Vēstulē Ministru kabinets aicināts pilnveidot nekustamo īpašumu apgrūtinājumu un kompensāciju sistēmu, lai nepieļautu indivīdu pamattiesību aizskāruma riskus, pamatojoties uz pētījuma secinājumiem. Vēstulē sniegti vairāki ieteikumi minētās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izsaka pateicību par vispusīgo nekustamā īpašuma apgrūtinājumu un kompensāciju sistēmas izpēti. Pētījums ir vērtīgs izziņas avots politikas veidotājiem un tiesību piemērotājiem. Tas viennozīmīgi turpmāk sekmēs normatīvā regulējuma kvalitātes pilnveidi minēto tiesību institūtu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pētījumā, Latvijā nekustamo īpašumu aprobežojumu un kompensāciju jomā pastāv decentralizēta sistēma. Par aprobežojumu noteikšanas pamatu un kompensācijas noteikšanas kritērijiem atbild ministrija, kuras kompetencē ir attiecīgā politikas joma. Ministru kabinets uzskata, ka šāda sistēma nodrošina to, ka regulējums ir atbilstošs katras nozares specifikai un ka šādas sistēmas ietvaros ir iespējams veikt padziļinātu iesaistīto mērķgrupu interešu un sabiedrības vajadzību samērīguma izvērtējumu. Šo kompetencēs balstīto pieeju politikas veidošanai nekustamo īpašumu aprobežojumu un kompensāciju jomā Ministru kabinets šobrīd neplāno mainīt. Uzsverams, ka Latvijas Republikas Satversmē noteiktie kritēriji pamattiesību ievērošanai ir jāievēro gan visiem politikas veidotājiem neatkarīgi no pārstāvētās ministrijas vai nozares, gan visiem tiesību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citus ieteikumus, Ministru kabinets piekrīt identificētajiem tiesiskā regulējuma sistēmas trūkumiem gadījumos, kad nekustamā īpašuma izmantošanai noteikti ierobežojumi, kas sasniedz tādu līmeni, kas faktiski uzskatāms par īpašuma atsavināšanu. Ministru kabinets ir uzdevis Viedās administrācijas un reģionālās attīstības ministrijai un Tieslietu ministrijai izvērtēt nepieciešamību izstrādāt regulējumu, kas paredzētu īpašuma atsavināšanu gadījumos, kad ir iespējams konstatēt, ka ir notikusi nekustamā īpašuma </w:t>
            </w:r>
            <w:r w:rsidR="00000000" w:rsidRPr="00000000" w:rsidDel="00000000">
              <w:rPr>
                <w:i w:val="1"/>
                <w:rtl w:val="0"/>
              </w:rPr>
              <w:t xml:space="preserve">de facto</w:t>
            </w:r>
            <w:r w:rsidR="00000000" w:rsidRPr="00000000" w:rsidDel="00000000">
              <w:rPr>
                <w:rtl w:val="0"/>
              </w:rPr>
              <w:t xml:space="preserve">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personu tiesību pilnvērtīgu aizsardzību gadījumos, kad personas tiesības brīvi rīkoties ar savu īpašumu aprobežo aizsargjosla, Ministru kabinets ir uzdevis Viedās administrācijas un reģionālās attīstības ministrijai izstrādāt un virzīt pieņemšanai Saeimā grozījumus Aizsargjoslu likuma 35. panta devītajā daļā, novēršot trūkumus regulējumā, kas šobrīd ļauj prasīt vienīgi tiešo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īpašnieku tiesību aizsardzību, kuru īpašumi atrodas aizsargjoslā ap valsts aizsardzības objektiem, Aizsardzības ministrijai uzdots izstrādāt noteikumus, kas noteiktu gadījumus un kārtību, kādā tiek ierobežota personu pārvietošanās, uzturēšanās un saimnieciskās darbības veikšana militārajā poligonā, tajā skaitā paredzot kompensējošus mehānismus nekustamo īpašumu īpašniekiem, kuru rīcība ar īpašumu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ieteikumu izstrādāt speciālu procesuālo kārtību un priekšnoteikumus tādu zaudējumu atlīdzināšanai, kurus rada normatīvais akts, uzsverams, ka šobrīd personu tiesības prasīt zaudējumu atlīdzību tiek nodrošinātas atbilstoši Latvijas Republikas Satversmei. Personām ir tiesības vērsties tiesā ar prasību par zaudējumu atlīdzināšanu gan administratīvajā procesā, ja zaudējumi radušies no iestādes izdota administratīvā akta vai faktiskās rīcības, gan civilprocesā, ja zaudējumi personai nodarīti citādi. Tādējādi šobrīd jau pastāv tiesu īstenota kontrole gadījumos, kad personai nodarīti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piekrīt, ka ir turpināms darbs pie informācijas sistēmu un reģistru, kuros atspoguļota informācija par nekustamajiem īpašumiem noteiktajiem izmantošanas ierobežojumiem, pieejamības nodrošināšanas un informācijas sistēmu sadarbspējas uzlabošanas kopumā. Jātiecas uz to, lai visi aprobežojumi un ierobežojumi, kas attiecas uz nekustamo īpašumu, tiktu atspoguļoti vienā informācijas sistēmā. Tomēr jebkāda informācijas sistēmu attīstība ir saistīta ar papildu finanšu līdzekļu ieguldījumiem. Pašreizējā valsts budžeta situācijā, ņemot vērā valsts izvirzītās ieguldījumu prioritātes, nav iespējama papildu budžeta līdzekļu novirzīšana informācijas pieejamības uzlabošanai par nekustamajiem īpašumiem noteiktajiem izmantošanas ierobežojumiem. Atbildīgajām iestādēm, strādājot pie sistēmu uzturēšanas un attīstības, tiks izvērtēta iespēja pilnveidot sistēmas atbilstoši ieteikumiem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Aizsardzības ministrijas 2025.gada 25.jūnija vēstulē Nr.MV-N/1490 minēto, lūdzam svītrot vēstules projektā teikumu: "</w:t>
            </w:r>
            <w:r w:rsidR="00000000" w:rsidRPr="00000000" w:rsidDel="00000000">
              <w:rPr>
                <w:i w:val="1"/>
                <w:rtl w:val="0"/>
              </w:rPr>
              <w:t xml:space="preserve">Lai nodrošinātu to īpašnieku tiesību aizsardzību, kuru īpašumi atrodas aizsargjoslā ap valsts aizsardzības objektiem, Aizsardzības ministrijai uzdots izstrādāt noteikumus, kas noteiktu gadījumus un kārtību, kādā tiek ierobežota personu pārvietošanās, uzturēšanās un saimnieciskās darbības veikšana militārajā poligonā, tajā skaitā paredzot kompensējošus mehānismus nekustamo īpašumu īpašniekiem, kuru rīcība ar īpašumu ir ierobežota.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Nacionālo bruņoto spēku likuma 4.</w:t>
            </w:r>
            <w:r w:rsidR="00000000" w:rsidRPr="00000000" w:rsidDel="00000000">
              <w:rPr>
                <w:vertAlign w:val="superscript"/>
                <w:rtl w:val="0"/>
              </w:rPr>
              <w:t xml:space="preserve">2</w:t>
            </w:r>
            <w:r w:rsidR="00000000" w:rsidRPr="00000000" w:rsidDel="00000000">
              <w:rPr>
                <w:rtl w:val="0"/>
              </w:rPr>
              <w:t xml:space="preserve"> panta otrajā daļā iekļautais deleģējums Ministru kabinetam (Aizsardzības ministrijai) noteikt, kādos gadījumos un kādā kārtībā tiek ierobežota personu pārvietošanās, uzturēšanās un saimnieciskās darbības veikšana militārajā poligonā, ar grozījumiem Nacionālo bruņoto spēku likumā, kas stāsies spēkā 2025.gada 3.jūlijā,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nekustamajos īpašumos, kuri atrodas valsts aizsardzības objekta aizsargjoslā, darbību ierobežojumus regulē Aizsargjoslu likums un uz tā pamata izdotie Ministru kabineta noteikumi: 2006. gada 27. jūnija noteikumi Nr.508 “Noteikumi par aizsargjoslām ap valsts aizsardzības objektiem un šo aizsargjoslu platumu”, 2009. gada 10. novembra noteikumi Nr.1312 “Noteikumi par darbību ierobežojumiem aizsargjoslās ap valsts aizsardzības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kompensējošā mehānisma izveidi nekustamo īpašumu īpašniekiem, kuru īpašumi atrodas aizsargjoslā ap valsts aizsardzības objektiem, informējam, ka Aizsardzības ministrijas ieskatā ierobežojumi nekustamo īpašumu īpašniekiem, kuru īpašumi atrodas valsts aizsardzības objektu aizsargjoslā, ir samērīgi un kompensējošo mehānismu izveide par valsts aizsardzības objekta aizsargjoslā esošajiem īpašumiem nav nepieciešama (skat. Aizsardzības ministrijas 2025.gada 25.jūnija vēstuli Nr.MV-N/1490).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 (Katrīna Sproģe (AM)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izstrādāt Ministru kabineta noteikumu projektu atbilstoši Nacionālo bruņoto spēku likuma 4.2 panta otrajā daļā ietvertajam deleģējumam, paredzot regulējumu par ierobežojumiem militārajā poligonā un tā tuvumā, kā arī par kompensējošiem mehānismiem nekustamo īpašumu īpašniekiem, kuru īpašumi atrodas aizsargjoslā.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vēstules projektam, lūdzam svītrot MK protokollēmuma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Buda (AM) (Katrīna Sproģe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25-TA-1530</w:t>
    </w:r>
    <w:r>
      <w:br/>
    </w:r>
    <w:r w:rsidR="00000000" w:rsidRPr="00000000" w:rsidDel="00000000">
      <w:rPr>
        <w:rtl w:val="0"/>
      </w:rPr>
      <w:t xml:space="preserve">Izdrukāts 04.07.2025.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25-TA-1530</w:t>
    </w:r>
    <w:r>
      <w:br/>
    </w:r>
    <w:r w:rsidR="00000000" w:rsidRPr="00000000" w:rsidDel="00000000">
      <w:rPr>
        <w:rtl w:val="0"/>
      </w:rPr>
      <w:t xml:space="preserve">Izdrukāts 04.07.2025.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Atzinumi_25-TA-1530.docx</dc:title>
</cp:coreProperties>
</file>

<file path=docProps/custom.xml><?xml version="1.0" encoding="utf-8"?>
<Properties xmlns="http://schemas.openxmlformats.org/officeDocument/2006/custom-properties" xmlns:vt="http://schemas.openxmlformats.org/officeDocument/2006/docPropsVTypes"/>
</file>