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vismaz 30 % primārās enerģijas ietaupījumu no attiecīgās pasākumu ietvaros atbalstītās ēkas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pretruna ar noteikumu 30. punktu un ņemot vērā apstākli, ka vienā projektā var tikt iekļautas vairākas ēkas ar dažādu primārās enerģijas ietaupījuma apjomu, ierosinām precizēt noteikumu 8.1.1.1 punktu, nosakot, ka sasniedzamais rādītājs – 30 % primārās enerģijas ietaupījums ir vidējais sasniedzamais rādītājs no pasākumu ietvaros atbalstītās kopējas ēku grupas.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vismaz 30 % primārās enerģijas ietaupījumu no projekta kopējās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25.11.2024.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25.11.2024.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