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 2025. gada 12. decembra vēstuli Nr. 1-2.21/3019 vērsa Klimata un enerģētikas ministrijas uzmanību uz grozījumiem Elektroenerģijas tirgus likuma (turpmāk – Likums) 1. panta otrajā daļā, kuri ir radījuši kļūdainu un sistēmiski nesaskaņotu regulējumu. Regulators lūdza iespējami ātri sagatavot Likuma grozījumu projektu, lai novērstu iepriekšējo Likuma grozījumu sekas, tomēr līdz šim nekāda rīcība no Klimata un enerģētikas ministrijas puses nav bijusi. Ievērojot to, ka ministrija turpina papildināt šā likumprojekta redakciju ar grozījumiem, kuri saistīti ar jaunām, šobrīd aktuālām tēmām, Regulators uzskata par piemērotu šajā likumprojektā ietvert arī grozījumus Likuma 1. panta otrajā daļā attiecībā uz terminiem “elektroenerģijas tirdzniecība”, “elektroenerģijas pārvade”, “elektroenerģijas sadale” un “sistēmas pakalpojums”, ievērojot Regulatora iepriekš sniegto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5. pantu ar astoto un devīto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astotās un devītās daļas projektā plānots lietot jaunu jēdzienu “viedās elektroenerģijas sistēmas”, bet šāds jēdziens nav skaidrots, tāpēc tas sasaistās ar Likuma 4. panta pirmajā daļā definēto jēdzienu “elektroenerģijas sistēma” (likumprojekta 3. pantā paredzētajā redakcijā): elektroenerģijas sistēmu veido elektroenerģijas ražošanas iekārtas un elektroenerģijas uzkrātuves, tajā skaitā pārrobežu iekārtas, pārvades un sadales sistēmas, un elektroenerģijas patēriņa iekārtas, kas ir savstarpēji savienotas un nepieciešamas elektroenerģijas transportēšanai no ražotāja līdz lietotājam. Tomēr Likuma 5. panta astotās un devītās daļas projekts attiecas uz sistēmas operatoriem, tātad elektroenerģijas pārvades un sadales sistēmas operatoriem, attiecīgi, Regulatora ieskatā, uz elektroenerģijas pārvades un sadales sistēmu, kura ir tikai daļa no elektroenerģijas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Regulators lūdz papildināt Likuma 1. panta otro daļu ar jauna termina “viedā elektroenerģijas sistēma” skaidrojumu vai šo skaidrojumu ietvert Likuma 5. panta astotās daļas projektā līdzīgi kā Likuma 20.</w:t>
            </w:r>
            <w:r w:rsidR="00000000" w:rsidRPr="00000000" w:rsidDel="00000000">
              <w:rPr>
                <w:vertAlign w:val="superscript"/>
                <w:rtl w:val="0"/>
              </w:rPr>
              <w:t xml:space="preserve">6</w:t>
            </w:r>
            <w:r w:rsidR="00000000" w:rsidRPr="00000000" w:rsidDel="00000000">
              <w:rPr>
                <w:rtl w:val="0"/>
              </w:rPr>
              <w:t xml:space="preserve"> panta pirmajā daļā attiecībā uz terminu “viedie elektroenerģijas komercuzskaites mēraparāti”, vai Likuma 5. panta astotās un devītās daļas projektā lietot atšķirīgu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savā tīmekļvietnē publicē viedās elektroenerģijas sistēmas attīstības vērtējuma rādītājus, kā arī uzrauga un izvērtē sistēmas operatoru īstenoto viedās elektroenerģijas sistēmas atbilstību tiem. Reizi divos gados Regulators savā tīmekļvietnē publicē ziņojumu, tostarp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2019. gada 5. jūnija direktīvas 2019/944 par kopīgiem noteikumiem attiecībā uz elektroenerģijas iekšējo tirgu un ar ko groza Direktīvu 2012/27/ES 59. panta 1. punkta l) apakšpunktu regulatīvajai iestādei ir pienākums pārraudzīt un izvērtēt pārvades sistēmu operatoru un sadales sistēmu operatoru darbības rādītājus saistībā ar tāda viedtīkla attīstību, kas veicina energoefektivitāti un atjaunojamo energoresursu enerģijas integrēšanu, pamatojoties uz ierobežotu indikatoru kopumu, un reizi divos gados publicēt valsts ziņojumu, tostarp ieteikumus. No minētās tiesību normas neizriet regulatīvās iestādes pienākums noteikt un publicēt ierobežoto indikatoru kopumu. Attiecīgi Regulators piedāvā izteikt 5. panta devīto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uzrauga šā panta astotajā daļā sistēmas operatoriem noteiktā pienākuma izpildi. Regulators reizi divos gados savā tīmekļvietnē publicē ziņojumu par viedās elektroenerģijas sistēmas attīstību, atspoguļojot rādītājus, atbilstoši kuriem šī attīstība ir novērtēta, un ieteikumus viedās elektroenerģijas sistēmas turpmākās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tirgotāji elektroenerģijas tirdzniecības līgumos, kuros tiek noteikts fiksēts līguma termiņš un fiksēta elektroenerģijas cena, var noteikt galalietotājiem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ar likumprojektu Likuma 35. pants tiek papildināts ar jaunu daļu, kas noteic, ka galalietotājiem netiek piemērota maksa par elektroenerģijas tirgotāja un agregatora maiņu. Vienlaikus likumprojekta 17. pantā iekļautā Likuma 35. panta 1.</w:t>
            </w:r>
            <w:r w:rsidR="00000000" w:rsidRPr="00000000" w:rsidDel="00000000">
              <w:rPr>
                <w:vertAlign w:val="superscript"/>
                <w:rtl w:val="0"/>
              </w:rPr>
              <w:t xml:space="preserve">1</w:t>
            </w:r>
            <w:r w:rsidR="00000000" w:rsidRPr="00000000" w:rsidDel="00000000">
              <w:rPr>
                <w:rtl w:val="0"/>
              </w:rPr>
              <w:t xml:space="preserve"> daļa noteic, ka galalietotājiem netiek piemērota maksa par šā panta pirmajā daļā minēto elektroenerģijas tirgotāja maiņu, izslēdzot agregatora maiņu. Attiecīgi Regulators lūdz papildināt likumprojekta 17. pantā iekļautā Likuma 35. panta 1.</w:t>
            </w:r>
            <w:r w:rsidR="00000000" w:rsidRPr="00000000" w:rsidDel="00000000">
              <w:rPr>
                <w:vertAlign w:val="superscript"/>
                <w:rtl w:val="0"/>
              </w:rPr>
              <w:t xml:space="preserve">1</w:t>
            </w:r>
            <w:r w:rsidR="00000000" w:rsidRPr="00000000" w:rsidDel="00000000">
              <w:rPr>
                <w:rtl w:val="0"/>
              </w:rPr>
              <w:t xml:space="preserve"> daļu ar nosacījumu, ka galalietotājiem netiek piemērota maksa arī par šā panta pirmajā daļā minēto agregatora maiņu, vai attiecīgi precizēt anotāciju. Ja ar tiesību normu ir paredzēts noteikt, ka bez papildu maksas galalietotājam ir tiesības mainīt arī agregatoru, Regulators aicina apsvērt apvienot Likuma 35. panta pirmo daļu un 1.</w:t>
            </w:r>
            <w:r w:rsidR="00000000" w:rsidRPr="00000000" w:rsidDel="00000000">
              <w:rPr>
                <w:vertAlign w:val="superscript"/>
                <w:rtl w:val="0"/>
              </w:rPr>
              <w:t xml:space="preserve">1</w:t>
            </w:r>
            <w:r w:rsidR="00000000" w:rsidRPr="00000000" w:rsidDel="00000000">
              <w:rPr>
                <w:rtl w:val="0"/>
              </w:rPr>
              <w:t xml:space="preserve"> daļu vienā tiesību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6. pantu ir paredzēts papildināt Likuma 9. pantu ar 2.</w:t>
            </w:r>
            <w:r w:rsidR="00000000" w:rsidRPr="00000000" w:rsidDel="00000000">
              <w:rPr>
                <w:vertAlign w:val="superscript"/>
                <w:rtl w:val="0"/>
              </w:rPr>
              <w:t xml:space="preserve">8</w:t>
            </w:r>
            <w:r w:rsidR="00000000" w:rsidRPr="00000000" w:rsidDel="00000000">
              <w:rPr>
                <w:rtl w:val="0"/>
              </w:rPr>
              <w:t xml:space="preserve"> daļu, kas noteic, ka pārrobežu iekārtas ieviešanai elektroenerģijas ražotājs vai elektroenerģijas uzkrātuves operators papildus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10. panta trešo daļu ir paredzēts papildināt Likuma 22. pantu ar 2.</w:t>
            </w:r>
            <w:r w:rsidR="00000000" w:rsidRPr="00000000" w:rsidDel="00000000">
              <w:rPr>
                <w:vertAlign w:val="superscript"/>
                <w:rtl w:val="0"/>
              </w:rPr>
              <w:t xml:space="preserve">1</w:t>
            </w:r>
            <w:r w:rsidR="00000000" w:rsidRPr="00000000" w:rsidDel="00000000">
              <w:rPr>
                <w:rtl w:val="0"/>
              </w:rPr>
              <w:t xml:space="preserve"> daļu, kas citstarp nosaka, ka,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jomā. Ņemot vērā, ka pārrobežu iekārtas ieviešanai pie sistēmas operatora elektroenerģijas ražotājs vai elektroenerģijas uzkrātuves operators vēršas jau tad, kad ir saņemta dienesta atļauja, un ņemot vērā, ka elektroenerģijas ražotājam vai elektroenerģijas uzkrātuves operatoram atļaujas saņemšanai dienestā ir jāiesniedz arī citas Eiropas Savienības dalībvalsts atbildīgās institūcijas atzinums par pārrobežu iekārtas ieviešanas atbilstību attiecīgās valsts normatīvajiem aktiem vides jomā, Regulators aicina apsvērt iespēju svītrot likumprojekta 6. panta otrajā daļā piedāvāto Likuma 9. panta 2.</w:t>
            </w:r>
            <w:r w:rsidR="00000000" w:rsidRPr="00000000" w:rsidDel="00000000">
              <w:rPr>
                <w:vertAlign w:val="superscript"/>
                <w:rtl w:val="0"/>
              </w:rPr>
              <w:t xml:space="preserve">8</w:t>
            </w:r>
            <w:r w:rsidR="00000000" w:rsidRPr="00000000" w:rsidDel="00000000">
              <w:rPr>
                <w:rtl w:val="0"/>
              </w:rPr>
              <w:t xml:space="preserve"> daļu un attiecīgi papildināt likumprojekta 10. panta trešajā daļā piedāvāto Likuma 22. panta 2.</w:t>
            </w:r>
            <w:r w:rsidR="00000000" w:rsidRPr="00000000" w:rsidDel="00000000">
              <w:rPr>
                <w:vertAlign w:val="superscript"/>
                <w:rtl w:val="0"/>
              </w:rPr>
              <w:t xml:space="preserve">1</w:t>
            </w:r>
            <w:r w:rsidR="00000000" w:rsidRPr="00000000" w:rsidDel="00000000">
              <w:rPr>
                <w:rtl w:val="0"/>
              </w:rPr>
              <w:t xml:space="preserve"> daļu, iekļaujot atsauci uz citas Eiropas Savienības dalībvalsts normatīvajiem aktiem valsts drošības un būvniecības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"(6) Pārvades sistēmas operators nepieslēdz elektroenerģijas sistēmai elektroenerģijas ražošanas iekārtu vai uzkrātuvi, ja tā darbībai nepieciešamais aprīkojums un programmatūra, kas ļauj elektroenerģijas ražošanas iekārtu vai uzkrātuvi vadīt attālināti, var radīt draudus elektroenerģijas sistēmas stabilai darbībai un nacionālajai drošībai. Pārvades sistēmas operators sadarbībā ar valsts drošības iestādēm nosaka valstis, kurās ražotais elektroenerģijas ražošanas iekārtu vai uzkrātuvju aprīkojums un programmatūra nevar tikt lietoti elektroenerģijas sistēmā. Pārvades sistēmas operators šo informāciju ietver tehniskajās prasībās sistēmas pieslēgumam.".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9. panta otro daļu sistēmas operatoram tā licences darbības zonā un termiņā ir pastāvīgas saistības nodrošināt sistēmas dalībniekiem nepieciešamo pieslēgumu attiecīgai sistēmai saskaņā ar regulatora izdotiem sistēmas pieslēguma noteikumiem, ja sistēmas dalībnieks izpilda sistēmas operatora noteiktās tehniskās prasības pieslēguma ierīkošanai. No piedāvātās Likuma 9. panta sestās daļas redakcijas secināms, ka ierobežojumi attiecībā uz valstīm, kurās ražots aprīkojums un programmatūra, kas nepieciešama elektroenerģijas ražošanas iekārtas vai uzkrātuves darbībai, ir tehniskās prasības sistēmas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tehniskās prasības sistēmas pieslēgumam nosaka sistēmas operators, tās ir saistošas sistēmas dalībniekam un līdz šim citas tehniskās prasības sistēmas pieslēgumam Likumā nav iekļautas. Attiecīgi Regulators aicina apsvērt piedāvātās tiesību normas lietderību. Vienlaikus, ja ir secināms, ka piedāvātā tiesību norma ir iekļaujama Likumā, Regulators piedāvā mainīt tiesību normas teikumu secību, tādējādi nodrošinot loģisku normas secību, proti, šobrīd piedāvāto pirmo teikumu pārvietot tiesību normas beigās. Vienlaikus apsvērt, vai, mainot teikumu secību, trešajā teikumā ir lietderīgi atsaukties uz to, ka aprīkojums un programmatūra var radīt draudus elektroenerģijas sistēmas stabilai darbībai un nacionālajai drošībai. Ja normas mērķis ir izskaust tikai attiecīgās valstīs ražotas iekārtas un programmatūru, tad atsauce būtu lietojama uz pārvades sistēmas operatora izveidoto sarakstu. Visbeidzot, Regulatora ieskatā, valstu saraksts būtu publicējams arī pārvades sistēmas operatora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Pārvades sistēmas operators sadarbībā ar valsts drošības iestādēm nosaka valstis, kurās ražotais elektroenerģijas ražošanas iekārtu vai uzkrātuvju aprīkojums un programmatūra nevar tikt lietoti elektroenerģijas sistēmā. Pārvades sistēmas operators šo informāciju publicē savā tīmekļvietnē un ietver tehniskajās prasībās pieslēguma ierīkošanai. Pārvades sistēmas operators nepieslēdz pārvades sistēmai elektroenerģijas ražošanas iekārtu vai uzkrātuvi, ja tās darbībai nepieciešamais aprīkojums un programmatūra, kas ļauj elektroenerģijas ražošanas iekārtu vai uzkrātuvi vadīt attālināti, var radīt draudus elektroenerģijas sistēmas stabilai darbībai un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jomā un īpašuma vai valdījuma tiesības apliecinošu dokumentu par nekustamajiem īpašumiem citas Eiropas Savienības dalībvalsts teritorijā, kuros plānots ieviest jaunu elektroenerģijas ražošanas iekārtu vai elektroenerģijas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Regulatora priekšlikumu attiecībā uz likumprojekta 6. pantu, Regulators piedāvā šādu Likuma 22. panta 2.</w:t>
            </w:r>
            <w:r w:rsidR="00000000" w:rsidRPr="00000000" w:rsidDel="00000000">
              <w:rPr>
                <w:vertAlign w:val="superscript"/>
                <w:rtl w:val="0"/>
              </w:rPr>
              <w:t xml:space="preserve">1 </w:t>
            </w:r>
            <w:r w:rsidR="00000000" w:rsidRPr="00000000" w:rsidDel="00000000">
              <w:rPr>
                <w:rtl w:val="0"/>
              </w:rPr>
              <w:t xml:space="preserve">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valsts drošības un būvniecības jomā un īpašuma vai valdījuma tiesības apliecinošu dokumentu par nekustamajiem īpašumiem citas Eiropas Savienības dalībvalsts teritorijā, kuros plānots ieviest jaunu elektroenerģijas ražošanas iekārtu vai elektroenerģijas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 par vēja elektroenerģijas ražošanas iekārtu tehnisko aprīkojumu vides un drošības prasību ievērošanai, pieļaujamo trokšņa līmeni un mirgošanu noteiktos saules spīdēšanas apstākļos.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ka Ministru kabinets nosaka ekspluatācijas prasības par vēja elektroenerģijas ražošanas iekārtu tehnisko aprīkojumu vides un drošības prasību ievērošanai, pieļaujamo trokšņa līmeni un mirgošanu noteiktos saules spīdēšanas apstākļos. No Vienotajā tiesību aktu projektu izstrādes un saskaņošanas portālā pieejamās likumprojektam pievienotās izziņas 3. punkta izriet, ka: “Likumprojekta norma ir precizēta attiecībā uz deleģējuma tvērumu (vēja turbīnu tehnisko aprīkojumu vides prasību ievērošanai,  trokšņa līmeni un mirgošanu)[..].” Attiecīgi Regulators aicina izvērtēt, vai ar Ministra kabineta noteikumiem ir paredzēts noteikt ekspluatācijas prasības tehniskajam aprīkojumam, proti, prasības tehniskā aprīkojuma lietošanai, vai ir paredzēts noteikt prasības tehniskajam aprīkojumam vides un drošības prasību ievērošanai.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"2) atsevišķa nekustamā īpašuma vai vairāku nekustamo īpašumu iekšējā līnija, kas savieno viena lietotāja vairākus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apsvērt riskus, ko varētu radīt tiesību normas interpretācija, proti, interpretējot piedāvāto reakciju, var nonākt pie secinājuma, ka nav nozīmes tam, kāds ir viena lietotāja vairāku atsevišķu objektu attālums, faktiski pieļaujot, ka šādi objekti varētu atrasties arī, piemēram, dažādās pilsētās.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14. pantu ir paredzēts papildināt Likumu ar 31.</w:t>
            </w:r>
            <w:r w:rsidR="00000000" w:rsidRPr="00000000" w:rsidDel="00000000">
              <w:rPr>
                <w:vertAlign w:val="superscript"/>
                <w:rtl w:val="0"/>
              </w:rPr>
              <w:t xml:space="preserve">8</w:t>
            </w:r>
            <w:r w:rsidR="00000000" w:rsidRPr="00000000" w:rsidDel="00000000">
              <w:rPr>
                <w:rtl w:val="0"/>
              </w:rPr>
              <w:t xml:space="preserve"> pantu, kura otrā daļa noteic, ka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Vienotajā tiesību aktu projektu izstrādes un saskaņošanas portālā pieejamās likumprojektam pievienotās izziņas 6. punkta izriet, ka likumprojekta attiecīgā daļa par pārrobežu iekārtu citā Eiropas Savienības dalībvalstī ir izslēgta. Regulators vērš uzmanību, ka aktuālajā redakcijā minētā tiesību norma joprojām ir iekļauta, tāpēc aicina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"(2</w:t>
            </w:r>
            <w:r w:rsidR="00000000" w:rsidRPr="00000000" w:rsidDel="00000000">
              <w:rPr>
                <w:vertAlign w:val="superscript"/>
                <w:rtl w:val="0"/>
              </w:rPr>
              <w:t xml:space="preserve">1</w:t>
            </w:r>
            <w:r w:rsidR="00000000" w:rsidRPr="00000000" w:rsidDel="00000000">
              <w:rPr>
                <w:rtl w:val="0"/>
              </w:rPr>
              <w:t xml:space="preserve">) Elektroenerģijas tirgotājam, kas elektroenerģiju piegādā vairāk par divsimt tūkstošiem galalietotāju, ir pienākums savos tirdzniecības pakalpojuma piedāvājumos iekļaut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Elektroenerģijas tirgotāji vienpusēji negroza fiksētas elektroenerģijas cenas līgumos tādus elektroenerģijas tirdzniecības līguma nosacījumus, kas būtiski maina galalietotāja tiesības un pienākumus, un neizbeidz šādus līgumus pirms to termiņa beigām, izņemot, kad lietotājs nenorēķinās par elektroenerģiju vai sistēmas operatora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skaidrības nodrošināšanai Regulators piedāvā šādu tiesību normas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Elektroenerģijas tirgotājs vienpusēji negroza tādus fiksētas elektroenerģijas cenas līguma nosacījumus, kas būtiski maina galalietotāja tiesības un pienākumus, un neizbeidz šādu līgumu pirms tā termiņa beigām, izņemot, kad galalietotājs nenorēķinās par elektroenerģiju vai sistēmas operatora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tirgotāji elektroenerģijas tirdzniecības līgumos, kuros tiek noteikts fiksēts līguma termiņš un fiksēta elektroenerģijas cena, var noteikt galalietotājiem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w:t>
            </w:r>
            <w:r w:rsidR="00000000" w:rsidRPr="00000000" w:rsidDel="00000000">
              <w:rPr>
                <w:vertAlign w:val="superscript"/>
                <w:rtl w:val="0"/>
              </w:rPr>
              <w:t xml:space="preserve">3</w:t>
            </w:r>
            <w:r w:rsidR="00000000" w:rsidRPr="00000000" w:rsidDel="00000000">
              <w:rPr>
                <w:rtl w:val="0"/>
              </w:rPr>
              <w:t xml:space="preserve"> panta otrajā daļā ir paskaidrots, ka fiksētas elektroenerģijas cenas līgums ir tāds elektroenerģijas piegādes līgums starp elektroenerģijas tirgotāju un galalietotāju, kurā līguma noteikumi, tostarp elektroenerģijas cena, paliek nemainīgi līguma darbības laikā. Attiecīgi Regulators aicina apsvērt, vai likumprojekta 17. pantā piedāvātajā 35. panta 1.</w:t>
            </w:r>
            <w:r w:rsidR="00000000" w:rsidRPr="00000000" w:rsidDel="00000000">
              <w:rPr>
                <w:vertAlign w:val="superscript"/>
                <w:rtl w:val="0"/>
              </w:rPr>
              <w:t xml:space="preserve">2</w:t>
            </w:r>
            <w:r w:rsidR="00000000" w:rsidRPr="00000000" w:rsidDel="00000000">
              <w:rPr>
                <w:rtl w:val="0"/>
              </w:rPr>
              <w:t xml:space="preserve"> daļas redakcijā nebūtu lietojams “fiksētas elektroenerģijas cenas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Elektroenerģijas tirgotāji fiksētas elektroenerģijas cenas līgumos var noteikt galalietotājiem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w:t>
            </w:r>
            <w:r w:rsidR="00000000" w:rsidRPr="00000000" w:rsidDel="00000000">
              <w:rPr>
                <w:rtl w:val="0"/>
              </w:rPr>
              <w:t xml:space="preserve">"103. Ja pārvades sistēmas operators iegādājas, uzstāda, attīsta, pārvalda un ekspluatē elektroenerģijas uzkrātuvi,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un ir tiesības ne ilgāk kā trīs gadus no dienas, kad pārvades sistēmas operators kļūst par kontinentālās Eiropas sinhronās zonas darbības līguma pusi, pirkt un pārdot elektroenerģiju balansēšanas tirgos. Ja tas nepieciešams piegādes drošības saglabāšanai, pārvades sistēmas operators var turpināt pirkt un pārdot elektroenerģiju balansēšanas tirgos pēc minētā trīs gadu termiņa Eiropas Komisijas noteiktajā termiņā, ja Eiropas Komisija sākotnējo trīs gadu termiņu ir pagarinājusi. Par attiecīgo pieprasījumu Eiropas Komisijai lemj Ministru kabinets, ņemot vērā regulatora izvērtējumu par šā likuma pārejas noteikumu 104. punktā minētās publiskās konsultācijas rezultātiem un pārvades sistēmas operatora sagatavoto piegādes drošības novērtējumu.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Regulators ne agrāk kā sešus mēnešus pirms šā likuma pārejas noteikumu 103. punktā minētā trīs gadu termiņa beigām organizē pirmo šā likuma 16.</w:t>
            </w:r>
            <w:r w:rsidR="00000000" w:rsidRPr="00000000" w:rsidDel="00000000">
              <w:rPr>
                <w:vertAlign w:val="superscript"/>
                <w:rtl w:val="0"/>
              </w:rPr>
              <w:t xml:space="preserve">3</w:t>
            </w:r>
            <w:r w:rsidR="00000000" w:rsidRPr="00000000" w:rsidDel="00000000">
              <w:rPr>
                <w:rtl w:val="0"/>
              </w:rPr>
              <w:t xml:space="preserve"> panta ceturtajā daļā minēto publisko konsultāciju. Ja šā likuma pārejas noteikumu 103. punktā minētais trīs gadu termiņš netiek pagarināts vai pēc Eiropas Komisijas noteiktā termiņa, regulators, pamatojoties uz pārvades sistēmas operatora priekšlikumu, lemj par pārvades sistēmas operatora elektroenerģijas uzkrātuves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jau zināms konkrēts datums, kad akciju sabiedrība “Augstsprieguma tīkls” kļuva par kontinentālās Eiropas sinhronās zonas darbības līguma pusi, lai nodrošinātu lielāku tiesisko skaidrību un noteiktību tiesību normas piemērošanā, Regulators aicina apsvērt iespēju Likuma pārejas noteikumu 103. punkta redakcijā norādīt konkrētu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