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Komercdarbības atbalsta kontroles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Komercdarbības atbalsta kontroles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identificējusi, ka vairākās atbalsta programmās šobrīd pastāv problēma ar programmu īstenošanu, jo finansējuma saņēmējiem programmu administrēšana tiek uzskaitīta kā komercdarbības atbalsts, lai gan faktiski viņi negūst labumu no projekta, bet gan nodrošina projektu īstenošanu, kas paredz noteiktus MK noteikumu līmenī atrunātus pienākumus kā atbalsta apsaimniekotajam, ko deleģējis MK. Turklāt jāņem vērā, ka minētais pienākums, ko uzņemas finansējuma saņēmēji nekropļo tirgu, jo kaskādes veidā nodrošina tālāku atbalsta sniegšanu noteiktai MK noteikumos atrunātai mērķauditorijai. Vēršam uzmanību, ka uz projekta personāla izmaksām, kas sniedz ārpakalpojumu nav attiecināms komercdarbības atbalsts, līdz ar to, lai nodrošinātu vienotu pieeju lūgums papildināt likumprojektu ar 5</w:t>
            </w:r>
            <w:r w:rsidR="00000000" w:rsidRPr="00000000" w:rsidDel="00000000">
              <w:rPr>
                <w:vertAlign w:val="superscript"/>
                <w:rtl w:val="0"/>
              </w:rPr>
              <w:t xml:space="preserve">1</w:t>
            </w:r>
            <w:r w:rsidR="00000000" w:rsidRPr="00000000" w:rsidDel="00000000">
              <w:rPr>
                <w:rtl w:val="0"/>
              </w:rPr>
              <w:t xml:space="preserve"> pantu, paredzot izņēmumu, ka komercdarbības atbalsta kontroles likuma 5.panta nosacījumi nav piemērojami uz projekta personāla izmaksām, ja atklātā konkursā ir izvēlēts pretendents vai Ministru kabineta noteikumos ir noteikts pretendents un šis pretendents neveic ražošanu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Komercdarbības atbalsta kontroles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situācija, kad uz Ekonomikas ministrijas atbalsta programmām piesakās apjomīgs skaits komersantu pie de minimis atbalsta, tad programmu administrētājiem ir nepieciešams pārbaudīt liela apjoma informāciju pie katra atbalsta pieteikuma. Esošā situācija liecina, ka lēmumi tiek pieņemti ar īsu laika intervāla starpību, līdz ar to slogs veidojas ne tikai uz programmu administrētājiem, bet arī uz komersantiem, kuriem nepieciešams iesniegt informāciju pie katra pieteikuma īsā laika periodā. Lai mazinātu administratīvo slogu lūgums paredzēt nosacījumu, ka gadījumā, ja ir pieņemts lēmums par de minimis atbalstu, tad ne vēlāk kā septiņu kalendāro dienu laikā šī lēmuma informāciju izmanto cita  de minimis lēmuma pieņemšanā. Ekonomikas ministrijas ieskatā septiņu kalendāro dienu laikā nevar būtiski mainīties informācija, kas var ietekmēt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26.03.2024.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26.03.2024.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Atzinumi_24-TA-274.docx</dc:title>
</cp:coreProperties>
</file>

<file path=docProps/custom.xml><?xml version="1.0" encoding="utf-8"?>
<Properties xmlns="http://schemas.openxmlformats.org/officeDocument/2006/custom-properties" xmlns:vt="http://schemas.openxmlformats.org/officeDocument/2006/docPropsVTypes"/>
</file>