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paredzēts ka tiek izstrādāts vai nu  sociālekonomiskais novērtējums, vai ekosistēmu pakalpojumu novērtējums. Sociālekonomiskajam vērtējumam ir jābūt kā obligātam nosacījumam projekta realizācijā, jo kā liecina iepriekšējā pieredze, piemēram, ar Gaujas Nacionālā parka dabas aizsardzības plāna izstrādi, plānos var tikt piedāvāts mainīt IADT zonējumu un/vai  apsaimniekošanas režīmu maiņu, kas var atstāt būtisku sociālekonomisko iespaidu uz konkrētajā teritorijā dzīvojošajiem iedzīvotājiem un nozarēm, kas tajā darbojas.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projekta iesniegumā ir jāapliecina, ka izstrādātajā dabas aizsardzības plānā tiks iestrādāts sociālekonomiskais novērtējums par ĪADT, kurai tiek izstrādāts dabas aizsardzības plāns" vai ""Projekta iesniedzējam projekta iesniegumā ir jāapliecina, ka izstrādātajā dabas aizsardzības plānā tiks iestrādāts sociālekonomiskais novērtējums un ekosistēmu pakalpojumu novērtējums par ĪADT, kurai tiek izstrādāts dabas aizsardzības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 (LMIB)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18.01.2024.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18.01.2024.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