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26-TA-765: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piesārņojumu"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41) bezemisiju zona -  teritorija, kas noteikta ar mērķi samazināt transporta radīto negatīvo ietekmi uz sabiedrības veselību un vidi un kurā tiek atļauta tikai tādu vieglo pasažieru automobiļu, mikroautobusu un vieglo komerciālo transportlīdzekļu iebraukšana, kuriem nav iekšdedzes motors, kā arī tādu lielas noslodzes bezemisiju transportlīdzekļu iebraukšana, kas definēti Eiropas Parlamenta un Padomes 2019. gada 20. jūnija Regulas (ES) 2019/1242 par CO</w:t>
            </w:r>
            <w:r w:rsidR="00000000" w:rsidRPr="00000000" w:rsidDel="00000000">
              <w:rPr>
                <w:vertAlign w:val="subscript"/>
                <w:rtl w:val="0"/>
              </w:rPr>
              <w:t xml:space="preserve">2</w:t>
            </w:r>
            <w:r w:rsidR="00000000" w:rsidRPr="00000000" w:rsidDel="00000000">
              <w:rPr>
                <w:rtl w:val="0"/>
              </w:rPr>
              <w:t xml:space="preserve"> emisiju standartu noteikšanu jauniem lielas noslodzes transportlīdzekļiem un ar kuru groza Eiropas Parlamenta un Padomes Regulas (EK) Nr. 595/2009 un (ES) 2018/956 un Padomes Direktīvu 96/53/EK, 3. panta 11.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lietoti termini “mikroautobuss” un “vieglais komerciālais transportlīdzeklis”, kas nav nepārprotami sasaistīti ar M un N kategoriju klasifikāciju. Nav skaidrs regulējums motocikliem, hibrīdiem, speciālajiem un ārvalstīs reģistrētiem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terminus aizstāt vai papildināt ar konkrētām transportlīdzekļu kategorijām — M1, M2, M3, N1, N2 un N3, kā arī skaidri noteikt regulējumu hibrīdtransportlīdzekļiem, ūdeņraža transportlīdzekļiem, motocikliem, traktortehnikai un speciālajiem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Tabakurska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2) kādas emisiju klases transportlīdzekļu iebraukšana zemo emisiju zonā tiek aizliegta vai ierobežota;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1.panta 51.punkta definīcija un 11.</w:t>
            </w:r>
            <w:r w:rsidR="00000000" w:rsidRPr="00000000" w:rsidDel="00000000">
              <w:rPr>
                <w:vertAlign w:val="superscript"/>
                <w:rtl w:val="0"/>
              </w:rPr>
              <w:t xml:space="preserve">14</w:t>
            </w:r>
            <w:r w:rsidR="00000000" w:rsidRPr="00000000" w:rsidDel="00000000">
              <w:rPr>
                <w:rtl w:val="0"/>
              </w:rPr>
              <w:t xml:space="preserve"> panta pirmās daļas 1.punkts paredz EURO 0–5 transportlīdzekļu iebraukšanas aizliegumu, savukārt 11.</w:t>
            </w:r>
            <w:r w:rsidR="00000000" w:rsidRPr="00000000" w:rsidDel="00000000">
              <w:rPr>
                <w:vertAlign w:val="superscript"/>
                <w:rtl w:val="0"/>
              </w:rPr>
              <w:t xml:space="preserve">14</w:t>
            </w:r>
            <w:r w:rsidR="00000000" w:rsidRPr="00000000" w:rsidDel="00000000">
              <w:rPr>
                <w:rtl w:val="0"/>
              </w:rPr>
              <w:t xml:space="preserve"> panta otrās daļas 2.punkts un anotācijā sniegtie piemēri liecina, ka pašvaldība varētu izvēlēties, kuras emisiju klases aizliegt vai ierobežot. Nav viennozīmīgi skaidrs, vai zemo emisiju zonā obligāti aizliedzami visi EURO 0–5 transportlīdzekļi vai pašvaldība drīkst noteikt šaurāku aizliegto klašu loku, piemēram, EURO 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regulējuma ieceri un savstarpēji salāgot 1.panta 51.punkta definīciju, 11.</w:t>
            </w:r>
            <w:r w:rsidR="00000000" w:rsidRPr="00000000" w:rsidDel="00000000">
              <w:rPr>
                <w:vertAlign w:val="superscript"/>
                <w:rtl w:val="0"/>
              </w:rPr>
              <w:t xml:space="preserve">14</w:t>
            </w:r>
            <w:r w:rsidR="00000000" w:rsidRPr="00000000" w:rsidDel="00000000">
              <w:rPr>
                <w:rtl w:val="0"/>
              </w:rPr>
              <w:t xml:space="preserve"> panta pirmās daļas 1.punktu un 11.</w:t>
            </w:r>
            <w:r w:rsidR="00000000" w:rsidRPr="00000000" w:rsidDel="00000000">
              <w:rPr>
                <w:vertAlign w:val="superscript"/>
                <w:rtl w:val="0"/>
              </w:rPr>
              <w:t xml:space="preserve">14</w:t>
            </w:r>
            <w:r w:rsidR="00000000" w:rsidRPr="00000000" w:rsidDel="00000000">
              <w:rPr>
                <w:rtl w:val="0"/>
              </w:rPr>
              <w:t xml:space="preserve"> panta otrās daļas 2.punktu, kā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Tabakurska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(3) Pašvaldība saistošajos noteikumos var noteikt atbrīvojumus no pašvaldības saistošajos noteikumos noteiktajām prasībām attiecībā uz aizliegumu zemo emisiju zonā un bezemisiju zonā iebraukt noteiktiem transportlīdzekļiem.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likumprojektā attiecībā uz operatīvo transportu katra pašvaldība var noteikt atšķirīgus atbrīvojumus. Anotācijā kā iespējamie izņēmumi minēti sabiedriskais transports, operatīvie transportlīdzekļi un 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likumprojektā visā valstī obligāti noteikt izņēmumus operatīvajam transportam, sabiedriskajam transportam, ceļu uzturēšanas un avārijas dienestiem.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Tabakurska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 transportlīdzekļu un to vadītāju valsts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paredzēta piekļuve transportlīdzekļu un to vadītāju valsts reģistram, taču anotācijā nav veikts izvērtējums par transportlīdzekļu datu pilnīgumu.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pie likumprojekta 11.</w:t>
            </w:r>
            <w:r w:rsidR="00000000" w:rsidRPr="00000000" w:rsidDel="00000000">
              <w:rPr>
                <w:vertAlign w:val="superscript"/>
                <w:rtl w:val="0"/>
              </w:rPr>
              <w:t xml:space="preserve">14</w:t>
            </w:r>
            <w:r w:rsidR="00000000" w:rsidRPr="00000000" w:rsidDel="00000000">
              <w:rPr>
                <w:rtl w:val="0"/>
              </w:rPr>
              <w:t xml:space="preserve"> panta piektās daļas skaidrojuma sniegt informāciju, vai CSDD reģistrā visiem transportlīdzekļiem ir pieejami dati par EURO klasi un bezemisiju statuss, kā arī par nepieciešamajām sistēmas izmaiņām, ja tādas identificētas. Tāpat nepieciešams aprakstīt kārtību gadījumiem, kad emisiju klase reģistrā nav norādīta, kā arī ārvalstīs reģistrētu transportlīdzekļu kontrolei.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Tabakurska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(6) Pašvaldība pirms šajā pantā minēto saistošo noteikumu izsludināšanas Pašvaldību likumā noteiktajā kārtībā nosūta tos atzinuma sniegšanai Klimata un enerģētikas ministrijai un Satiksmes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 saistošo noteikumu nosūtīšana SM un KEM atzinuma sniegšanai, bet anotācijā norādīta to saskaņošana.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likumprojektu, nosakot atzinuma sniegšanas termiņu, pašvaldības pienākumu izvērtēt iebildumus un rīcību ministriju atšķirīgu viedokļu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Tabakurska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2) valsts sabiedrība ar ierobežotu atbildību "Latvijas Jūras administrācija", veicot kuģu reģistrā reģistrējamo iekšējo ūdensceļu kuģu motoru atbilstības Regulas Nr. 2016/1628 noteiktajām prasībām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Redakciju nepieciešams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sabiedrība ar ierobežotu atbildību "Latvijas Jūras administrācija", veicot Latvijas Kuģu reģistrā reģistrējamo kuģu, kuri paredzēti kuģošanai iekšējos ūdeņos, motoru atbilstības Regulā Nr. 2016/1628 noteiktajām prasībām pārbaudi pirms kuģa reģistrācijas vai jau reģistrētiem kuģiem pirms motora nomaiņas."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pants. (1) Par iebraukšanu zemo emisiju zonā ar transportlīdzekli, kas atbilst "EURO 5" vai zemākai emisiju klasei piemēro naudas sodu fiziskajai personai līdz desmit naudas soda vienību apmērā, bet juridiskajai personai septiņpadsmit naudas soda vienību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norma automātiski attiecas uz visiem EURO 5 un zemākas klases transportlīdzekļiem, lai gan pašvaldība varētu aizliegt tikai daļu no šīm klasēm. Ņemot vērā minēto, lūdzam sodu sasaistīt ar konkrētās pašvaldības noteikto aizliegumu.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iebraukšanu zemo emisiju zonā ar transportlīdzekli, kura iebraukšana attiecīgajā zonā ir aizliegta saskaņā ar pašvaldības saistošajiem noteikumiem, piemēro..."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Tabakurska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pants. (3) Ja zemo emisiju zonā vai bezemisiju zonā tiek papildus noteikta arī ielu nodeva atbilstoši ceļu nodevas regulējošajiem normatīvajiem aktiem, tad tiek piemērots administratīvais sods tikai atbilstoši ceļu nodevas regulējošajiem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vai normas mērķis ir novērst divu administratīvo sodu piemērošanu par vienu un to pašu pārkāpumu. Lūdzam precizēt 63.</w:t>
            </w:r>
            <w:r w:rsidR="00000000" w:rsidRPr="00000000" w:rsidDel="00000000">
              <w:rPr>
                <w:vertAlign w:val="superscript"/>
                <w:rtl w:val="0"/>
              </w:rPr>
              <w:t xml:space="preserve">1</w:t>
            </w:r>
            <w:r w:rsidR="00000000" w:rsidRPr="00000000" w:rsidDel="00000000">
              <w:rPr>
                <w:rtl w:val="0"/>
              </w:rPr>
              <w:t xml:space="preserve"> panta trešās daļas tvērumu, skaidri nosakot zemo emisiju vai bezemisiju zonas iebraukšanas ierobežojuma un "ielu nodevas" savstarpējo attiecību, kā arī piemērojamo administratīvo atbildību. Vienlaikus, ja projektā paredzēts ieviest jaunu terminu “ielu nodeva”, lūdzam to definēt un anotācijā sniegt izvērstāku skaidrojumu par šīs nodevas būtību, piemērošanas nosacījumiem un sasaisti ar transportlīdzekļu iebraukšanas ierobežojumiem.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Tabakurska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pants. papildināt pārejas noteikumus ar 89., 90., 91., 92., 93., 94., 95., 96., 97., 98., 99., 100., 101., 102., 103., 104., 105., 106., 107., 108., 109. 110. un 111.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4.1.4. sadaļā norādīts, ka zemo emisiju un bezemisiju zonu ieviešanai nepieciešami grozījumi Ministru kabineta 2015. gada 2. jūnija noteikumos Nr. 279 “Ceļu satiksmes noteikumi”. Lūdzam pārejas noteikumos noteikt termiņu MK noteikumu Nr. 279 grozījumu izstrādei.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Tabakurska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1.panta 51.punkta definīcija un 11.</w:t>
            </w:r>
            <w:r w:rsidR="00000000" w:rsidRPr="00000000" w:rsidDel="00000000">
              <w:rPr>
                <w:vertAlign w:val="superscript"/>
                <w:rtl w:val="0"/>
              </w:rPr>
              <w:t xml:space="preserve">14</w:t>
            </w:r>
            <w:r w:rsidR="00000000" w:rsidRPr="00000000" w:rsidDel="00000000">
              <w:rPr>
                <w:rtl w:val="0"/>
              </w:rPr>
              <w:t xml:space="preserve"> panta pirmās daļas 1.punkts paredz EURO 0–5 transportlīdzekļu iebraukšanas aizliegumu, savukārt 11.</w:t>
            </w:r>
            <w:r w:rsidR="00000000" w:rsidRPr="00000000" w:rsidDel="00000000">
              <w:rPr>
                <w:vertAlign w:val="superscript"/>
                <w:rtl w:val="0"/>
              </w:rPr>
              <w:t xml:space="preserve">14</w:t>
            </w:r>
            <w:r w:rsidR="00000000" w:rsidRPr="00000000" w:rsidDel="00000000">
              <w:rPr>
                <w:rtl w:val="0"/>
              </w:rPr>
              <w:t xml:space="preserve"> panta otrās daļas 2.punkts un anotācijas 1.3. sadaļā sniegtie piemēri liecina, ka pašvaldība varētu izvēlēties, kuras emisiju klases aizliegt vai ierobežot. Nav viennozīmīgi skaidrs, vai zemo emisiju zonā obligāti aizliedzami visi EURO 0–5 transportlīdzekļi vai pašvaldība drīkst noteikt šaurāku aizliegto klašu loku, piemēram, EURO 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regulējuma ieceri un savstarpēji salāgot 1.panta 51.punkta definīciju, 11.</w:t>
            </w:r>
            <w:r w:rsidR="00000000" w:rsidRPr="00000000" w:rsidDel="00000000">
              <w:rPr>
                <w:vertAlign w:val="superscript"/>
                <w:rtl w:val="0"/>
              </w:rPr>
              <w:t xml:space="preserve">14</w:t>
            </w:r>
            <w:r w:rsidR="00000000" w:rsidRPr="00000000" w:rsidDel="00000000">
              <w:rPr>
                <w:rtl w:val="0"/>
              </w:rPr>
              <w:t xml:space="preserve"> panta pirmās daļas 1.punktu un 11.</w:t>
            </w:r>
            <w:r w:rsidR="00000000" w:rsidRPr="00000000" w:rsidDel="00000000">
              <w:rPr>
                <w:vertAlign w:val="superscript"/>
                <w:rtl w:val="0"/>
              </w:rPr>
              <w:t xml:space="preserve">14</w:t>
            </w:r>
            <w:r w:rsidR="00000000" w:rsidRPr="00000000" w:rsidDel="00000000">
              <w:rPr>
                <w:rtl w:val="0"/>
              </w:rPr>
              <w:t xml:space="preserve"> panta otrās daļas 2.punktu, kā arī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Tabakurska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11.</w:t>
            </w:r>
            <w:r w:rsidR="00000000" w:rsidRPr="00000000" w:rsidDel="00000000">
              <w:rPr>
                <w:vertAlign w:val="superscript"/>
                <w:rtl w:val="0"/>
              </w:rPr>
              <w:t xml:space="preserve">14</w:t>
            </w:r>
            <w:r w:rsidR="00000000" w:rsidRPr="00000000" w:rsidDel="00000000">
              <w:rPr>
                <w:rtl w:val="0"/>
              </w:rPr>
              <w:t xml:space="preserve"> panta sestajā daļā paredzēta saistošo noteikumu nosūtīšana SM un KEM atzinuma sniegšanai, bet anotācijā norādīta to saskaņošana.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anotācijas 1.3. sadaļu, nosakot atzinuma sniegšanas termiņu, pašvaldības pienākumu izvērtēt iebildumus un rīcību ministriju atšķirīgu viedokļu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Tabakurska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4.1.4. sadaļā norādīts, ka zemo emisiju un bezemisiju zonu ieviešanai nepieciešami grozījumi Ministru kabineta 2015. gada 2. jūnija noteikumos Nr. 279 “Ceļu satiksmes noteikumi”. Lūdzam sadaļu papildināt ar informāciju, ka minētajos noteikumos nepieciešams paredzēt zemo emisiju un bezemisiju zonas sākuma un beigu ceļa zīmes, kā arī papildzīmes, kas norāda piemērojamās transportlīdzekļu emisiju klases, izņēmumus, ierobežojumu darbības laiku un nodevas apmēru. Tāpat būtu jāparedz transportlīdzekļu vadītāju savlaicīga informēšana pirms iebraukšanas attiecīgajā zonā.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Tabakurska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26-TA-765</w:t>
    </w:r>
    <w:r>
      <w:br/>
    </w:r>
    <w:r w:rsidR="00000000" w:rsidRPr="00000000" w:rsidDel="00000000">
      <w:rPr>
        <w:rtl w:val="0"/>
      </w:rPr>
      <w:t xml:space="preserve">Izdrukāts 17.08.2026. 15.10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26-TA-765</w:t>
    </w:r>
    <w:r>
      <w:br/>
    </w:r>
    <w:r w:rsidR="00000000" w:rsidRPr="00000000" w:rsidDel="00000000">
      <w:rPr>
        <w:rtl w:val="0"/>
      </w:rPr>
      <w:t xml:space="preserve">Izdrukāts 17.08.2026. 15.10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Atzinumi_26-TA-765.docx</dc:title>
</cp:coreProperties>
</file>

<file path=docProps/custom.xml><?xml version="1.0" encoding="utf-8"?>
<Properties xmlns="http://schemas.openxmlformats.org/officeDocument/2006/custom-properties" xmlns:vt="http://schemas.openxmlformats.org/officeDocument/2006/docPropsVTypes"/>
</file>