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licences laukuma noteikšanu jūrā inovatīvu tehnoloģiju testēšanai un pētniecībai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(Kartoshēma)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licences laukuma noteikšanu jūrā inovatīvu tehnoloģiju testēšanai un pētniecībai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pamatot Rīkojuma projektā paredzētā licences laukuma noteikšanas tiesisko pamatu, ņemot vērā, ka Inovatīvas uzņēmējdarbības un prioritāro projektu atbalsta likuma 5. pants paredz speciālās regulatīvās vides izveidi inovatīvu tehnoloģiju, produktu un pakalpojumu testēšanai, bet nav viennozīmīgi secināms, ka minētā norma piešķir Ministru kabinetam kompetenci noteikt konkrētu jūras teritoriju Latvijas Republikas ekskluzīvajā ekonomiskajā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pamatot Rīkojuma projektā izvēlēto risinājumu, paredzot licences laukuma noteikšanu pirms speciālās regulatīvās vides nosacījumu izstrādes, kā arī skaidrot, vai šāda pieeja nodrošina pietiekamu tiesisko noteiktību attiecībā uz licences laukuma izmantošanu, sadalīšanu apakšlaukumos, piekļuves kārtību un uzraudzības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spēkā esošajā Jūras telpiskajā plānojumā, kas apstiprināts ar Ministru kabineta 2019. gada 21. maija rīkojumu Nr. 232 "Par Jūras plānojumu Latvijas Republikas teritoriālajiem ūdeņiem un ekskluzīvās ekonomiskās zonas ūdeņiem līdz 2030. gadam", nav paredzēts licences laukums inovatīvu tehnoloģiju testēšanai un pētniecībai. Lūdzam pamatot Rīkojuma projekta atbilstību spēkā esošajam Jūras telpiskajam plānojumam, kā arī skaidrot izvēlētās teritorijas atbilstību un nepieciešamību, ņemot vērā, ka Rīkojuma projektā norādītā licences laukuma atrašanās vieta atšķiras no Jūras telpiskā plānojuma darba grupā prezentētā risinājuma.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Rīkojuma projektā un anotācijā nav pietiekami konkretizētas licences laukumā paredzētās darbības/aktivitātes, līdz ar to nav iespējams pilnvērtīgi izvērtēt izvēlētā laukuma piemērotību, paredzamo ietekmi uz kuģošanu, jūras vidi un citiem jūras izmantošanas veidiem. Vienlaikus nav skaidrs, kā Rīkojuma projektā paredzētais regulējums ietekmēs spēkā esošo regulējumu un izveidoto kārtību attiecībā uz inovatīvu autonomu kuģošanas tehnoloģiju (jūras dronu) testēšanas pasākumu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paredzētais licences laukums atrodas Latvijas Republikas ekskluzīvajā ekonomiskajā zonā, nepieciešams papildus izvērtēt tā atbilstību jūras telpas izmantošanas regulējumam, tostarp Jūras vides aizsardzības un pārvaldības likumam, Jūras telpiskajam plānojumam un ANO Jūras tiesību konvencijai (UNCLOS), kā arī iespējamo ietekmi uz citiem likumīgiem jūras izmantošanas veidiem un to savstarpēju saskaņošanu, īpaši izvērtējot ietekmi uz kuģošanas drošību, navigācijas apstākļiem un kuģošanas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Rīkojuma projekta pamatojumu un papildināt ar skaidru izvērtējumu par iepriekš minētajiem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03.08.2026.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03.08.2026.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Atzinumi_26-TA-1663.docx</dc:title>
</cp:coreProperties>
</file>

<file path=docProps/custom.xml><?xml version="1.0" encoding="utf-8"?>
<Properties xmlns="http://schemas.openxmlformats.org/officeDocument/2006/custom-properties" xmlns:vt="http://schemas.openxmlformats.org/officeDocument/2006/docPropsVTypes"/>
</file>