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siltumnīcefekta gāzu emisiju samazināšanas un oglekļa dioksīda piesaistes saistību izpildi”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Izteikt 28. lp. pie 8. punktu precizētā redacijā.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 sasniegtu Latvijai noteiktos paaugstinātos mērķus ne-ETS sektorā, ir nepieciešams noteikt papildu politikas un pasākumus Nacionālā enerģētikas un klimata plāna 2021.-2030. gadam atjaunošanas ietvaros (atjauninājuma projekts EK jāiesniedz līdz 2023. gada 30. jūnijam),</w:t>
            </w:r>
            <w:r w:rsidR="00000000" w:rsidRPr="00000000" w:rsidDel="00000000">
              <w:rPr>
                <w:u w:val="single"/>
                <w:rtl w:val="0"/>
              </w:rPr>
              <w:t xml:space="preserve"> izvērtējot šo politiku un pasākumu sociāli ekonomiskās ietekmes.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Einārs Cilinskis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10.03.2023. 09.03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10.03.2023. 09.03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