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aicina pilnveidot likumprojektu, lai nodrošinātu kultūras mantojuma aizsardzību saskaņā ar starptautisko un nacionālo tiesisko regulējumu,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1.Kultūrvēsturiskās zonas likvidēšana – Jaunajā redakcijā vairs nav iestrādāta Kultūrvēsturiskā zona, kas tika aizvietota ar Dabas parka zonu. Tas nozīmē, ka kultūrvēsturiskajam mantojumam tiek zaudēts īpašais aizsardzības statuss, kas var negatīvi ietekmēt arheoloģisko pieminekļu saglabāšanu un pieejamību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2.Ierobežota pieeja arheoloģiskajiem pieminekļiem – Arheoloģiskie pieminekļi turpmāk būs pieejami tikai Ainavu aizsardzības zonā vai Neitrālajā zonā, kamēr citās zonās pieeja būs ierobežota vai pat liegta. Tas radīs grūtības pieminekļu apsekošanā, uzturēšanā un zinātniskajā izpētē, kā arī zemes īpašnieku tiesību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3.Nepietiekama aizsardzība kultūras pieminekļiem – Esošais regulējums nepietiekami nodrošina kultūras pieminekļu saglabāšanu un pieejamības iespējas, kas var negatīvi ietekmēt to uzturēšanu un ilgtermiņa saglabāšanu. Joprojām nav iestrādātas citas prasības, kas saistītas ar atļauju veikt arheoloģiskās izpētes darbus, veikt kultūras pieminekļu apsekošanu vai citas darbības, kas saistītas ar kultūras pieminekļu saglabāšanu un pieminekļu pieejamību sabiedrībai Stingra režīma un Dabas lieguma zonās.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Nacionālā kultūras mantojuma pārvalde vērš uzmanību, ka Likumprojekta izstrādes laikā sniegtie priekšlikumi par kultūras pieminekļu saglabāšanas un pieejamības nodrošināšanu nav iestrādāti gala redakcijā. Vienīgais izņēmums ir regulējums attiecībā uz koku ciršanas atļaušanu kultūras pieminekļu aizsardzības nolūkā, taču arī tas ir uzskatāms kā nepilnīgs kultūras mantojuma starptautiskā un nacionālā regulējuma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Vivita Vīksna-Bārbale (NKMP)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31.03.2025.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31.03.2025.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Atzinumi_24-TA-209.docx</dc:title>
</cp:coreProperties>
</file>

<file path=docProps/custom.xml><?xml version="1.0" encoding="utf-8"?>
<Properties xmlns="http://schemas.openxmlformats.org/officeDocument/2006/custom-properties" xmlns:vt="http://schemas.openxmlformats.org/officeDocument/2006/docPropsVTypes"/>
</file>