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16.4.4. 10.–12. klašu grupā – 45 izglītojamie, izņemot Aglonas vidusskolu, Dagdas vidusskolu, Kārsavas vidusskolu, Kaunatas vidusskolu, Viļakas vidusskolu un Zilupes vidusskolu, kas nodrošina vismaz 30 izglītojamos.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16.4.4. apakšpunkts ir papildināts ar atsevišķu vidusskolu uzskaitījumu, uz kurām attiecināms izņēmums par izglītojamo skaita nodrošināšanu 10.-12. klašu grupā, 45 izglītojamo vietā nodrošinot 30 izglītojamos, lūdzam papildināt anotāciju ar informāciju, kā ir izvēlētas noteikumu projekta 16.4.4. apakšpunktā minētās vidusskolas kā izņēmuma gadījums izglītojamo skaita nodrošināšanā, un skaidrot, vai attiecīgajiem atlases kritērijiem nevarētu atbilst vēl citas, uzskaitījumā neminētas, izglītības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sadaļas  "4.2.1.5. pasākums tiek īstenots sinerģijā ar" e. apakšpunktu, jo pašvaldības primāri aizņēmumus izmanto  ES līdzfinansētam projektam, nevis tikai kā izglītības jomas projektiem saskaņā ar Ministru kabineta 2024. gada 17. decembra noteikumiem Nr. 879 “Noteikumi par kritērijiem un kārtību, kādā tiek izvērtēti pašvaldību investīciju projektu pieteikumi aizdevuma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ierosinām noteikt sekojoša redakcijā: </w:t>
            </w:r>
            <w:r w:rsidR="00000000" w:rsidRPr="00000000" w:rsidDel="00000000">
              <w:rPr>
                <w:i w:val="1"/>
                <w:rtl w:val="0"/>
              </w:rPr>
              <w:t xml:space="preserve">4.2.1.5. pasākums tiek īstenots sinerģijā ar: e) pašvaldību aizņēmumiem atbilstoši gadskārtējā valsts budžeta likumā noteiktajiem aizņemšanās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Tisenkopfa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29.10.2025.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29.10.2025.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Atzinumi_25-TA-1639.docx</dc:title>
</cp:coreProperties>
</file>

<file path=docProps/custom.xml><?xml version="1.0" encoding="utf-8"?>
<Properties xmlns="http://schemas.openxmlformats.org/officeDocument/2006/custom-properties" xmlns:vt="http://schemas.openxmlformats.org/officeDocument/2006/docPropsVTypes"/>
</file>