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25-TA-649: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7. novembra noteikumos Nr. 635 "Elektroenerģijas tirdzniecības un lietošanas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rezultāti)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un projekta 15. punktā paredzēts, ka mājsaimniecības lietotājam par līguma izmaiņām jāpaziņo vismaz vienu mēnesi iepriekš, savukārt projekta 17. punktā pārējiem elektroenerģijas lietotājiem - vismaz divas nedēļas iepriekš. Vienlaikus anotācijā nav sniegts skaidrs pamatojums atšķirīgai pieejai salīdzināmos faktiskajos un tiesiskajos apstākļos, proti, vienpusēji grozot būtiskus līguma nosacījumus. Anotācijā nav skaidrots, kādēļ mājsaimniecības lietotājs šādā situācijā atrodas atšķirīgā stāvoklī salīdzinājumā ar citiem galalietotājiem. Lūdzam izvērtēt un anotācijā pamatot noteikto atšķirīgo paziņošanas termiņu atbilstību līguma slēgšanas brīvības ierobežojuma samērīgumam, kā arī tiesiskās noteiktības un vienlīdzības principiem.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Amanda Irbe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nacionālajos normatīvajos aktos jāpārņem līdz tajās norādītajam termiņam, līdz ar to lūdzam anotācijas 5. sadaļā nodrošināt informāciju par to, kā tiek nodrošināta direktīvu pilnīga pārņemšana. Piemēram, Eiropas Parlamenta un Padomes 2024. gada 13. jūnija Direktīva (ES) 2024/1711, ar ko groza Direktīvas (ES) 2018/2001 un (ES) 2019/944 attiecībā uz Savienības elektroenerģijas tirgus modeļa uzlabošanu, (turpmāk - direktīva 2024/1711) vēl nav transponēta, lai gan tās pārņemšana bija jānodrošina līdz 2025. gada 17. janvārim, ar izņēmumu attiecībā uz tās 2. panta 2. un 5. punkta prasībām, jāpārņem līdz 2026. gada 17. jūlijam. Gadījumā, ja direktīvas prasības nav pilnībā pārņemtas, nepārņemtās direktīvu prasības nacionālajos tiesību aktos jāpārņem un tiem jāstājas spēkā pēc iespējas drīz.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sniegtajiem skaidrojumiem ar projektu pārņemtas arī direktīvas 2024/1711 vienības, uz kurām neattiecas atkāpe par 2026. gada termiņu. Attiecīgi, lūdzam skaidrot, pamatot direktīvas vienību novēlotu pārņemšanu un no tās izrietošās potenciālās sekas Latvijai.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 izvērtēt projekta atbilstību Eiropas Savienības tiesību aktiem un aizpildīt projekta anotācijas 5. sadaļu (sadaļas aizpildīšanā aicinām ievērot "Vadlīnijas tiesību akta projekta sākotnējās ietekmes novērtēšanai un novērtējuma ziņojuma sagatavošanai Vienotajā tiesību aktu izstrādes un saskaņošanas portālā"). Vēršam uzmanību, ka,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projektā nav "12.</w:t>
            </w:r>
            <w:r w:rsidR="00000000" w:rsidRPr="00000000" w:rsidDel="00000000">
              <w:rPr>
                <w:vertAlign w:val="superscript"/>
                <w:rtl w:val="0"/>
              </w:rPr>
              <w:t xml:space="preserve">7</w:t>
            </w:r>
            <w:r w:rsidR="00000000" w:rsidRPr="00000000" w:rsidDel="00000000">
              <w:rPr>
                <w:rtl w:val="0"/>
              </w:rPr>
              <w:t xml:space="preserve"> punkta", bet direktīvā 2024/1711 2. panta 5. punktam nav c) apakšpunkta, savukārt direktīvas 2024/1711 2. panta 4. punkta d) apakšpunkts, nevis c) apakšpunkts groza Eiropas Parlamenta un Padomes 2019. gada 5. jūnija Direktīvas (ES) 2019/944 par kopīgiem noteikumiem attiecībā uz elektroenerģijas iekšējo tirgu un ar ko groza Direktīvu 2012/27/ES (turpmāk - direktīva 2019/944) 11. panta 2. punktu. Attiecīgi, lūdzam pārliecināties, ka anotācijas 5.4. apakšpunkta 1. tabulā tiek ietvertas korektas atsauces;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atbilstoši projekta redakcijai direktīvas 2019/944 20. panta 1. daļas g) punkts pārņemts Ministru kabineta 2023. gada 7. novembra noteikumu Nr. 635 "Elektroenerģijas tirdzniecības un lietošanas noteikumi" (turpmāk - Noteikumi) 12.</w:t>
            </w:r>
            <w:r w:rsidR="00000000" w:rsidRPr="00000000" w:rsidDel="00000000">
              <w:rPr>
                <w:vertAlign w:val="superscript"/>
                <w:rtl w:val="0"/>
              </w:rPr>
              <w:t xml:space="preserve">5</w:t>
            </w:r>
            <w:r w:rsidR="00000000" w:rsidRPr="00000000" w:rsidDel="00000000">
              <w:rPr>
                <w:rtl w:val="0"/>
              </w:rPr>
              <w:t xml:space="preserve"> punktā, direktīvas 2019/944 20. panta 1. daļas f) punkts - Noteikumu 12.</w:t>
            </w:r>
            <w:r w:rsidR="00000000" w:rsidRPr="00000000" w:rsidDel="00000000">
              <w:rPr>
                <w:vertAlign w:val="superscript"/>
                <w:rtl w:val="0"/>
              </w:rPr>
              <w:t xml:space="preserve">4</w:t>
            </w:r>
            <w:r w:rsidR="00000000" w:rsidRPr="00000000" w:rsidDel="00000000">
              <w:rPr>
                <w:rtl w:val="0"/>
              </w:rPr>
              <w:t xml:space="preserve"> punktā, bet direktīvas 2019/944 20. panta 1. daļas e) punkts un 20. panta otrā daļa pirmsšķietami saistīta ar Noteikumu 12.</w:t>
            </w:r>
            <w:r w:rsidR="00000000" w:rsidRPr="00000000" w:rsidDel="00000000">
              <w:rPr>
                <w:vertAlign w:val="superscript"/>
                <w:rtl w:val="0"/>
              </w:rPr>
              <w:t xml:space="preserve">2</w:t>
            </w:r>
            <w:r w:rsidR="00000000" w:rsidRPr="00000000" w:rsidDel="00000000">
              <w:rPr>
                <w:rtl w:val="0"/>
              </w:rPr>
              <w:t xml:space="preserve"> punktu un 12.</w:t>
            </w:r>
            <w:r w:rsidR="00000000" w:rsidRPr="00000000" w:rsidDel="00000000">
              <w:rPr>
                <w:vertAlign w:val="superscript"/>
                <w:rtl w:val="0"/>
              </w:rPr>
              <w:t xml:space="preserve">3</w:t>
            </w:r>
            <w:r w:rsidR="00000000" w:rsidRPr="00000000" w:rsidDel="00000000">
              <w:rPr>
                <w:rtl w:val="0"/>
              </w:rPr>
              <w:t xml:space="preserve"> punktu. Savukārt direktīvas 2019/944 10. panta 4. punkts pārņemts arī Noteikumu 31.3.apakšpunktā;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direktīvas 2024/1711 28.a panta 2. punkts paredz rīcības brīvību "</w:t>
            </w:r>
            <w:r w:rsidR="00000000" w:rsidRPr="00000000" w:rsidDel="00000000">
              <w:rPr>
                <w:i w:val="1"/>
                <w:rtl w:val="0"/>
              </w:rPr>
              <w:t xml:space="preserve">Dalībvalstis var veikt atbilstīgus pasākumus, lai izvairītos no procesa ļaunprātīgas izmantošanas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projekta 27. punkts pārņem Direktīvas 2024/1711 3. panta 1. punkta 4.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atbilstoši skaidrojumiem anotācijas 1.3. apakšsadaļā, projekts pārņem arī anotācijas 5.4. apakšsadaļā neskaidrotas vienības, piemēram, direktīvas 2019/944 19. panta 6.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pienākumus, kurus aktīvais lietotājs var uzdot enerģijas kopīgošanas organizatoram.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3. februāra noteikumu Nr. 108 "Normatīvo aktu projektu sagatavošanas noteikumi" (turpmāk - noteikumi Nr. 108) 100. punktam noteikumu projekta pirmajā punktā raksta (pārraksta) likumā noteikto pilnvarojumu Ministru kabinetam. Lūdzam izvērtēt un precizēt projekta 4. punktu, ņemot vērā, ka no projekta 1. punktā norādītajām, projekta izstrādi pamatojošajām tiesību normām neizriet konkrētais pilnvarojums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pilnvarojums Ministru kabinetam un no tā izrietošie grozījumi saistīti ar pašlaik saskaņošanas procesā esošajiem grozījumiem Elektroenerģijas tirgus likumā, lūdzam virzīt projektu vai tā vienības, kuras saistītas ar plānoto pilnvarojumu Ministru kabinetam, pēc tam, kad grozījumi Elektroenerģijas tirgus likumā būs stājušies spēkā. Proti, šobrīd nav tiesiskā pamata projektā noteikt pienākumus, kurus aktīvais lietotājs var uzdot enerģijas kopīgošanas organizatoram.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2</w:t>
            </w:r>
            <w:r w:rsidR="00000000" w:rsidRPr="00000000" w:rsidDel="00000000">
              <w:rPr>
                <w:rtl w:val="0"/>
              </w:rPr>
              <w:t xml:space="preserve">5. informācija par iespējām, izmaksām un riskiem, kas saistīti ar attiecīgo līguma veidu;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direktīvas 2024/1711 2. panta 4. punkta d) apakšpunkta (direktīvas 2019/944 11. panta 2. punkts) pārņemšanu vai precizēt skaidrojumus anotācijā. Atbilstoši skaidrojumiem, projekts minēto direktīvas vienību pārņem pilnībā, bet Noteikumu 22.</w:t>
            </w:r>
            <w:r w:rsidR="00000000" w:rsidRPr="00000000" w:rsidDel="00000000">
              <w:rPr>
                <w:vertAlign w:val="superscript"/>
                <w:rtl w:val="0"/>
              </w:rPr>
              <w:t xml:space="preserve">2</w:t>
            </w:r>
            <w:r w:rsidR="00000000" w:rsidRPr="00000000" w:rsidDel="00000000">
              <w:rPr>
                <w:rtl w:val="0"/>
              </w:rPr>
              <w:t xml:space="preserve">5.apakšpunkts, pārņemot direktīvu, nosaka tikai informēšanas pienākumu par iespējām, izmaksām un riskiem, lai gan direktīva nosaka arī, piemēram, pienākumus regulatīvām 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1</w:t>
            </w:r>
            <w:r w:rsidR="00000000" w:rsidRPr="00000000" w:rsidDel="00000000">
              <w:rPr>
                <w:rtl w:val="0"/>
              </w:rPr>
              <w:t xml:space="preserve"> Veicot tādas izmaiņas elektroenerģijas tirdzniecības līguma nosacījumos, kas skar elektroenerģijas cenu, īguma pirmstermiņa izbeigšanas maksu vai līguma darbības termiņu, tirgotājs par tām informē mājsaimniecības lietotāju ne vēlāk kā vienu mēnesi pirms izmaiņu spēkā stāšanās dienas. Paziņojumā iekļauj informāciju par izmaiņu apmēru un iemesliem, kā arī mājsaimniecības lietotāja tiesībām vienpusēji izbeigt elektroenerģijas tirdzniecības līgumu bez līguma pirmstermiņa izbeigšanas maksas piemērošanas.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projekta 14., 15., 16. un 17. punktu, kontekstā ar direktīvas 2019/944 10. panta 4. punktā noteikto. Proti, no projekta izriet nepieciešamība informēt par izmaiņām elektroenerģijas tirdzniecības līguma nosacījumos, kas skar elektroenerģijas cenu, līguma pirmstermiņa izbeigšanas maksu vai līguma darbības termiņu, bet direktīva nosaka, ka jāinformē par jebkuru nodomu grozīt līguma nosacījumus. Papildus, īpaši uzsverot piegādes cenas koriģēšanu, šīs korekcijas iemeslus, priekšnosacījumus un apmēru. Tāpat, projekts paredz informēšanas pienākumu, </w:t>
            </w:r>
            <w:r w:rsidR="00000000" w:rsidRPr="00000000" w:rsidDel="00000000">
              <w:rPr>
                <w:u w:val="single"/>
                <w:rtl w:val="0"/>
              </w:rPr>
              <w:t xml:space="preserve">veicot izmaiņas</w:t>
            </w:r>
            <w:r w:rsidR="00000000" w:rsidRPr="00000000" w:rsidDel="00000000">
              <w:rPr>
                <w:rtl w:val="0"/>
              </w:rPr>
              <w:t xml:space="preserve">, bet no direktīvas saprotams, ka informēšana jānodrošina jau posmā, kad ir tikai </w:t>
            </w:r>
            <w:r w:rsidR="00000000" w:rsidRPr="00000000" w:rsidDel="00000000">
              <w:rPr>
                <w:u w:val="single"/>
                <w:rtl w:val="0"/>
              </w:rPr>
              <w:t xml:space="preserve">nodoms veikt izmaiņas</w:t>
            </w:r>
            <w:r w:rsidR="00000000" w:rsidRPr="00000000" w:rsidDel="00000000">
              <w:rPr>
                <w:rtl w:val="0"/>
              </w:rPr>
              <w:t xml:space="preserve">. Attiecīgi, lūdzam izvērtēt, vai projekta 15. un 17. punktā vārds "veicot" nav aizstājams ar vārdu "plānojot" v.tml., tādējādi nodrošinot korektu direktīvas prasību pārņemšanu.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iesakām nepārrakstīt, nedublēt projekta saturu. Vēršam uzmanību, ka jau projekta 14. un 16. punktā noteikti līgumu nosacījumi, kuru grozīšanas gadījumā jānodrošina iespēja izbeigt  līgumu bez līguma pirmstermiņa izbeigšanas maksas piemērošanas. Attiecīgi, ir lieki to atkārtoti pārrakstīt projekta 15. un 17. punktā, tā vietā iesakām norādīt vienkārši iekšējo atsauci uz attiecīgajām Noteikumu vienībām.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175. Šo noteikumu </w:t>
            </w:r>
            <w:r w:rsidR="00000000" w:rsidRPr="00000000" w:rsidDel="00000000">
              <w:rPr>
                <w:rtl w:val="0"/>
              </w:rPr>
              <w:t xml:space="preserve">II</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nodaļā</w:t>
            </w:r>
            <w:r w:rsidR="00000000" w:rsidRPr="00000000" w:rsidDel="00000000">
              <w:rPr>
                <w:rtl w:val="0"/>
              </w:rPr>
              <w:t xml:space="preserve"> noteiktās prasības viedajiem elektroenerģijas komercuzskaites mēraparātiem neattiecas uz tādiem viedajiem elektroenerģijas komercuzskaites mēraparātiem, kas pasūtīti pirms 2019. gada 4. jūlija.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precīzu Direktīvas 2019/944 pārņemšanu. Vēršam uzmanību, ka atbilstoši tās 19. panta 6. punktam viedās uzskaites sistēmas, kuras</w:t>
            </w:r>
            <w:r w:rsidR="00000000" w:rsidRPr="00000000" w:rsidDel="00000000">
              <w:rPr>
                <w:u w:val="single"/>
                <w:rtl w:val="0"/>
              </w:rPr>
              <w:t xml:space="preserve"> jau ir uzstādītas vai kuru “darbu sākums” bija pirms 2019. gada 4. jūlija</w:t>
            </w:r>
            <w:r w:rsidR="00000000" w:rsidRPr="00000000" w:rsidDel="00000000">
              <w:rPr>
                <w:rtl w:val="0"/>
              </w:rPr>
              <w:t xml:space="preserve">, var turpināt darboties visu savu ekspluatācijas laiku. Savukārt projektā noteikts, ka II</w:t>
            </w:r>
            <w:r w:rsidR="00000000" w:rsidRPr="00000000" w:rsidDel="00000000">
              <w:rPr>
                <w:vertAlign w:val="superscript"/>
                <w:rtl w:val="0"/>
              </w:rPr>
              <w:t xml:space="preserve">1</w:t>
            </w:r>
            <w:r w:rsidR="00000000" w:rsidRPr="00000000" w:rsidDel="00000000">
              <w:rPr>
                <w:rtl w:val="0"/>
              </w:rPr>
              <w:t xml:space="preserve"> nodaļas noteikumus neattiecina uz mēraparātiem, kas </w:t>
            </w:r>
            <w:r w:rsidR="00000000" w:rsidRPr="00000000" w:rsidDel="00000000">
              <w:rPr>
                <w:u w:val="single"/>
                <w:rtl w:val="0"/>
              </w:rPr>
              <w:t xml:space="preserve">pasūtīti pirms 2019. gada 4. jūlija</w:t>
            </w:r>
            <w:r w:rsidR="00000000" w:rsidRPr="00000000" w:rsidDel="00000000">
              <w:rPr>
                <w:rtl w:val="0"/>
              </w:rPr>
              <w:t xml:space="preserve">, kas nav saprotams tāpat kā direktīvā noteiktā uzstādīšana vai "darbu sākums". Tāpat no Direktīvas 2019/944 19. panta 6. punkta izriet arī nosacījums, ka "V</w:t>
            </w:r>
            <w:r w:rsidR="00000000" w:rsidRPr="00000000" w:rsidDel="00000000">
              <w:rPr>
                <w:i w:val="1"/>
                <w:rtl w:val="0"/>
              </w:rPr>
              <w:t xml:space="preserve">iedās uzskaites sistēmas, kas neatbilst 20. panta un II pielikuma prasībām, netiek ekspluatētas pēc 2031. gada 5. jūlija</w:t>
            </w:r>
            <w:r w:rsidR="00000000" w:rsidRPr="00000000" w:rsidDel="00000000">
              <w:rPr>
                <w:rtl w:val="0"/>
              </w:rPr>
              <w:t xml:space="preserve">", kas projektā nav pārņemts.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anotāciju atbilstoši juridiskās tehnikas prasībām, ievērojot, ka saīsinājumus piesaka pirmajā vietā juridiskajā tekstā, kur lietots attiecīgais saīsināmais jēdziens vai termins. Tāpat pieteiktie saīsinājumi konsekventi lietojami tālāk dokumenta tekstā. Piemēram, uz saīsinājumu "ETL".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lūdzam ievērot arī attiecībā uz Eiropas Savienības tiesību aktu atsaucēm. Proti, noformēt tās atbilstoši Noteikumu Nr. 108 4. nodaļai. Atsaucē uz Eiropas Savienības tiesību aktu norādot šādu informāciju: institūcija (Komisija, Padome, Eiropas Parlaments), kas izdevusi attiecīgo tiesību aktu; tiesību akta pieņemšanas datums; veids (regula, direktīva, lēmums); numurs un nosaukums atbilstoši tiesību akta nosaukumam latviešu valodā EUR-Lex datu bāzē. Nepieciešamības gadījumā piesakot saīsinājumu, piemēram, Komisijas 2020. gada 30. jūlija Īstenošanas Regula (ES) 2020/1197 ar kuru nosaka tehniskās specifikācijas un kārtību saskaņā ar Eiropas Parlamenta un Padomes regulu (ES) 2019/2152 par Eiropas uzņēmējdarbības statistiku, ar ko atceļ 10 tiesību aktus uzņēmējdarbības statistikas jomā (turpmāk - Regula 2020/1197).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lūdzam anotācijas 1.3. apakšsadaļā skaidri definēt jēdzienu “būtiski grozījumi”. Tiesību akta projekts paredz elektroenerģijas lietotāja tiesības vienpusēji izbeigt elektroenerģijas tirdzniecības līgumu bez līguma pirmstermiņa izbeigšanas maksas, ja tirgotājs veicis būtiskus līguma grozījumus, tomēr šobrīd šis jēdziens nav konkretizēts, atstājot plašu interpretācijas brīvību līgumslēdzēju praksē un radot tiesiskās nenoteiktības risku.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Amanda Irbe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apakšsadaļā nodrošināt pilnīgus projekta skaidrojumus, piemēram, nav skaidrots projekta 5. punkts, vai skaidrojot projekta 7. punktu, izvērst tā skaidrojumu, ņemot vērā, ka atbilstoši direktīvas 2024/1711 2. panta 5. punktam (2019/944 15.a panta 3. punkta a) apakšpunkts) ar saziņu par enerģijas koplietošanas kārtību ar citām attiecīgām struktūrām, piemēram, piegādātājiem un tīkla operatoriem, tostarp saprotama arī saziņa par aspektiem, kas saistīti ar piemērojamiem tarifiem un maksām, nodokļiem vai nodevām.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w:t>
            </w:r>
            <w:r w:rsidR="00000000" w:rsidRPr="00000000" w:rsidDel="00000000">
              <w:rPr>
                <w:vertAlign w:val="superscript"/>
                <w:rtl w:val="0"/>
              </w:rPr>
              <w:t xml:space="preserve">1</w:t>
            </w:r>
            <w:r w:rsidR="00000000" w:rsidRPr="00000000" w:rsidDel="00000000">
              <w:rPr>
                <w:rtl w:val="0"/>
              </w:rPr>
              <w:t xml:space="preserve">. Viedie elektroenerģijas komercuzskaites mēraparāti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ka projekta 6. punkts nodrošina korektu un pilnīgu direktīvas 2019/944 20. panta pārņemšanu, kā tas izriet no anotācijas 5.4. apakšsadaļas 1. tabulas. Gadījumā, ja ar projektu netiek nodrošināta pilnīga minētās direktīvas normas pārņemšana, lūdzam precizēt projektu vai sniegt skaidrojumus par to, kā to plānots īstenot. Vēršam uzmanību, ka atbilstoši direktīvas 2019/944 20. panta 1. daļai viedās uzskaites sistēmas ievieš saskaņā ar Eiropas standartiem, direktīvas II pielikumu un tās apakšpunktos norādītajām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w:t>
            </w:r>
            <w:r w:rsidR="00000000" w:rsidRPr="00000000" w:rsidDel="00000000">
              <w:rPr>
                <w:vertAlign w:val="superscript"/>
                <w:rtl w:val="0"/>
              </w:rPr>
              <w:t xml:space="preserve">2</w:t>
            </w:r>
            <w:r w:rsidR="00000000" w:rsidRPr="00000000" w:rsidDel="00000000">
              <w:rPr>
                <w:rtl w:val="0"/>
              </w:rPr>
              <w:t xml:space="preserve">. Enerģijas kopīgošanas organizēšana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projektu, ņemot vērā, ka atbilstoši Noteikumu Nr.108 111. punktam projektā neveido nodaļas, kas satur vienu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 Pirms elektroenerģijas tirdzniecības līguma noslēgšanas vai pagarināšanas tirgotājs lietotājam viegli uztveramā veidā skaidri un kodolīgi sniedz šo noteikumu </w:t>
            </w:r>
            <w:r w:rsidR="00000000" w:rsidRPr="00000000" w:rsidDel="00000000">
              <w:rPr>
                <w:rtl w:val="0"/>
              </w:rPr>
              <w:t xml:space="preserve">22.</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precīzu un pilnīgu direktīvas 2024/1711 2. panta 4. punkta c) apakšpunkta (direktīvas Nr. 2019/944 11. panta 1.a punkts) pārņemšanu projekta 8. un 9. punktā. Vēršam uzmanību, ka konkrētā direktīvas vienība paredz, ka pirms līguma slēgšanas vai pagarināšanas elektroenerģijas lietotājs tiek informēts par būtiskajiem līguma noteikumiem, direktīvas 2019/944 10. panta 3. un 4. punktā minētajām tiesībām un direktīvas 2019/944 11. panta 1.a punkta a-d) apakšpunktā noteikto. Projekta 8. un 9. punkts, pārņemot direktīvas vienību, nosaka informēšanu tikai par direktīvas 2019/944 11. panta 1.a punkta a-d) apakšpunktā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1</w:t>
            </w:r>
            <w:r w:rsidR="00000000" w:rsidRPr="00000000" w:rsidDel="00000000">
              <w:rPr>
                <w:rtl w:val="0"/>
              </w:rPr>
              <w:t xml:space="preserve"> Lietotājiem ar fiksētas elektroenerģijas cenas līgumu ir tiesības iesaistīties enerģijas kopīgošanā, elastības pakalpojumos vai energoefektivitātes shēmās.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projekta 11. punkts nodrošina pilnīgu un precīzu direktīvas 2024/1711 2. panta 4. punkta c) apakšpunkta (direktīvas 2019/944 11. panta 1.b punkts) pārņemšanu. Proti, atbilstoši direktīvas redakcija, jānodrošina iespēja elektroenerģijas lietotājiem piedalīties </w:t>
            </w:r>
            <w:r w:rsidR="00000000" w:rsidRPr="00000000" w:rsidDel="00000000">
              <w:rPr>
                <w:i w:val="1"/>
                <w:u w:val="single"/>
                <w:rtl w:val="0"/>
              </w:rPr>
              <w:t xml:space="preserve">pieprasījumreakcijā,</w:t>
            </w:r>
            <w:r w:rsidR="00000000" w:rsidRPr="00000000" w:rsidDel="00000000">
              <w:rPr>
                <w:i w:val="1"/>
                <w:rtl w:val="0"/>
              </w:rPr>
              <w:t xml:space="preserve"> enerģijas koplietošanā un ieguldīt valsts elektroenerģijas sistēmai nepieciešamās elastības sasniegšanā</w:t>
            </w:r>
            <w:r w:rsidR="00000000" w:rsidRPr="00000000" w:rsidDel="00000000">
              <w:rPr>
                <w:rtl w:val="0"/>
              </w:rPr>
              <w:t xml:space="preserve">", bet projektā paredzētas vienkārši tiesības "</w:t>
            </w:r>
            <w:r w:rsidR="00000000" w:rsidRPr="00000000" w:rsidDel="00000000">
              <w:rPr>
                <w:i w:val="1"/>
                <w:rtl w:val="0"/>
              </w:rPr>
              <w:t xml:space="preserve">iesaistīties enerģijas kopīgošanā, elastības pakalpojumos vai energoefektivitātes shēmās</w:t>
            </w:r>
            <w:r w:rsidR="00000000" w:rsidRPr="00000000" w:rsidDel="00000000">
              <w:rPr>
                <w:rtl w:val="0"/>
              </w:rPr>
              <w:t xml:space="preserve">". Nepieciešamības gadījumā lūdzam veikt precizējumus vai izvērst skaidrojumus.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 Tirgotājs vienpusēji neizbeidz elektroenerģijas tirdzniecības līgumu, ja lietotājs ir iesniedzis tirgotājam izskatīšanai sūdzību par sniegto pakalpojumu kvalitāti vai vērsies regulatorā ar iesniegumu par strīda ārpustiesas izskatīšanu. Minētās sūdzības iesniegšana vai lietotāja vēršanās regulatorā neietekmē pušu tiesības un pienākumus, kas izriet no noslēgtā elektroenerģijas tirdzniecības līguma.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projekta 12. punkts pilnībā pārņem direktīvas 2024/1711 2. panta 9. punktu (direktīvas 2019/944 28.a panta 2. punkts). Proti, atbilstoši direktīvai dalībvalstīm jānodrošina ne tikai tas, lai piegādātāji neizbeidz līgumus, bet arī neveic lietotāju atslēgšanu.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7</w:t>
            </w:r>
            <w:r w:rsidR="00000000" w:rsidRPr="00000000" w:rsidDel="00000000">
              <w:rPr>
                <w:rtl w:val="0"/>
              </w:rPr>
              <w:t xml:space="preserve"> Ja elektroenerģijas ražotājs saražoto elektroenerģiju pārdod vienīgi elektroenerģijas galalietotājam un tā netiek piegādāta kā publisks tirdzniecības pakalpojums (darījums tiek veikts viena elektroenerģijas pirkuma līguma ietvaros vai ar tirgotāja starpniecību), elektroenerģijas ražotājs nav uzskatāms par elektroenerģijas tirgotāju.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projektu, izvairoties no skaidrojuma sniegšanas iekavās, piemēram, Noteikumu 43.</w:t>
            </w:r>
            <w:r w:rsidR="00000000" w:rsidRPr="00000000" w:rsidDel="00000000">
              <w:rPr>
                <w:vertAlign w:val="superscript"/>
                <w:rtl w:val="0"/>
              </w:rPr>
              <w:t xml:space="preserve">7</w:t>
            </w:r>
            <w:r w:rsidR="00000000" w:rsidRPr="00000000" w:rsidDel="00000000">
              <w:rPr>
                <w:rtl w:val="0"/>
              </w:rPr>
              <w:t xml:space="preserve"> punktā. Skaidrojumus rosinām ietvert anotācijā vai arī, ja šiem skaidrojumiem jāpaliek projektā, lūdzam iekavas aizstāt ar pieturzīmi komats vai domuzīmi.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8</w:t>
            </w:r>
            <w:r w:rsidR="00000000" w:rsidRPr="00000000" w:rsidDel="00000000">
              <w:rPr>
                <w:rtl w:val="0"/>
              </w:rPr>
              <w:t xml:space="preserve"> Elektroenerģijas ražotājam ir tiesības vienpusēji pārskatīt elektroenerģijas pirkuma līgumā noteikto elektroenerģijas cenu, ja ir notikušas izmaiņas piemērojamajos nodokļos, nodevās un sistēmas operatoru noteiktajās maksās.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plānotos pirkuma līguma nosacījumus, piemēram, Noteikumu 43.</w:t>
            </w:r>
            <w:r w:rsidR="00000000" w:rsidRPr="00000000" w:rsidDel="00000000">
              <w:rPr>
                <w:vertAlign w:val="superscript"/>
                <w:rtl w:val="0"/>
              </w:rPr>
              <w:t xml:space="preserve">8 </w:t>
            </w:r>
            <w:r w:rsidR="00000000" w:rsidRPr="00000000" w:rsidDel="00000000">
              <w:rPr>
                <w:rtl w:val="0"/>
              </w:rPr>
              <w:t xml:space="preserve">punktu kontekstā ar projekta 14.-17. punktu un tajos pārņemto direktīvas 2019/944 10. panta 4. punktu. Proti, ka, veicot izmaiņas elektroenerģijas tirdzniecības līguma nosacījumos, kas skar elektroenerģijas cenu, par to noteiktā termiņā informē lietotāju, ar tiesībām vienpusēji izbeigt elektroenerģijas tirdzniecības līgumu bez līguma pirmstermiņa izbeigšanas maksas piemērošanas.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176. Šo noteikumu </w:t>
            </w:r>
            <w:r w:rsidR="00000000" w:rsidRPr="00000000" w:rsidDel="00000000">
              <w:rPr>
                <w:rtl w:val="0"/>
              </w:rPr>
              <w:t xml:space="preserve">125.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punkts</w:t>
            </w:r>
            <w:r w:rsidR="00000000" w:rsidRPr="00000000" w:rsidDel="00000000">
              <w:rPr>
                <w:rtl w:val="0"/>
              </w:rPr>
              <w:t xml:space="preserve"> stājas spēkā 2026. gada 1. martā.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26. punktu, kontekstā ar tā saskaņošanas virzību un to, ka tas potenciāli varētu stāties spēkā pēc 1. marta. Attiecīgi, projekta 26. punkts ir svītrojams vai precizējams, nosakot citu termiņu.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25-TA-649</w:t>
    </w:r>
    <w:r>
      <w:br/>
    </w:r>
    <w:r w:rsidR="00000000" w:rsidRPr="00000000" w:rsidDel="00000000">
      <w:rPr>
        <w:rtl w:val="0"/>
      </w:rPr>
      <w:t xml:space="preserve">Izdrukāts 10.02.2026. 18.16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25-TA-649</w:t>
    </w:r>
    <w:r>
      <w:br/>
    </w:r>
    <w:r w:rsidR="00000000" w:rsidRPr="00000000" w:rsidDel="00000000">
      <w:rPr>
        <w:rtl w:val="0"/>
      </w:rPr>
      <w:t xml:space="preserve">Izdrukāts 10.02.2026. 18.16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Atzinumi_25-TA-649.docx</dc:title>
</cp:coreProperties>
</file>

<file path=docProps/custom.xml><?xml version="1.0" encoding="utf-8"?>
<Properties xmlns="http://schemas.openxmlformats.org/officeDocument/2006/custom-properties" xmlns:vt="http://schemas.openxmlformats.org/officeDocument/2006/docPropsVTypes"/>
</file>