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2002. gada 23. aprīļa noteikumos Nr. 163 "Noteikumi par trokšņa emisiju no iekārtām, kuras izmanto ārpus telpām"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5.4. apakšsadaļas 1. tabulu, norādot, kā tiek pārņemtas arī pārējās </w:t>
            </w:r>
            <w:r w:rsidR="00000000" w:rsidRPr="00000000" w:rsidDel="00000000">
              <w:rPr>
                <w:i w:val="1"/>
                <w:rtl w:val="0"/>
              </w:rPr>
              <w:t xml:space="preserve">Eiropas Parlamenta un Padomes 2024. gada 23. oktobra Direktīvas (ES) 2024/2839, ar ko groza Direktīvas 1999/2/EK, 2000/14/EK, 2011/24/ES un 2014/53/ES attiecībā uz dažām ziņošanas prasībām tādās jomās kā pārtika un pārtikas sastāvdaļas, āra troksnis, pacientu tiesības un radioiekārtas</w:t>
            </w:r>
            <w:r w:rsidR="00000000" w:rsidRPr="00000000" w:rsidDel="00000000">
              <w:rPr>
                <w:rtl w:val="0"/>
              </w:rPr>
              <w:t xml:space="preserve"> vienības, kuras ir nepieciešams pārņemt. Kā arī aicinām anotācijā skaidrot, kādēļ noteikumu projekta vienība, ar kuru tiek pārņemta minētā direktīva, nestājas spēkā 2025. gada 29. novembrī (sk. direktīvas 5. pantu), vai alternatīvi aicinām paredzēt atbilstošu noteikumu projekta normas spēkā stāšanās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w:t>
            </w:r>
            <w:r w:rsidR="00000000" w:rsidRPr="00000000" w:rsidDel="00000000">
              <w:rPr>
                <w:i w:val="1"/>
                <w:rtl w:val="0"/>
              </w:rPr>
              <w:t xml:space="preserve">Komisijas 2023. gada 16. novembra Deleģētās Regulas (ES) 2024/1208, ar ko Eiropas Parlamenta un Padomes Direktīvu 2000/14/EK groza attiecībā uz metodi ārpus telpām izmantojamu iekārtu emitēta gaisvadīta trokšņa mērīšanai </w:t>
            </w:r>
            <w:r w:rsidR="00000000" w:rsidRPr="00000000" w:rsidDel="00000000">
              <w:rPr>
                <w:rtl w:val="0"/>
              </w:rPr>
              <w:t xml:space="preserve">(turpmāk - Regula 2024/1208), prasības tiek īstenotas ne tikai ar noteikumu projekta 1. punktu, bet arī ar citām projekta vienībām, tādēļ aicinām attiecīgi papildināt anotācijas 5.4. apakšsadaļas 1. 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Iekārtu radīto skaņas jaudas līmeni nosaka saskaņā ar Eiropas Komisijas 2023.gada 16.novembra Deleģētās Regulas (ES) 2024/1208, ar ko Eiropas Parlamenta un Padomes Direktīvu 2000/14/EK groza attiecībā uz metodi ārpus telpām izmantojamu iekārtu emitēta gaisvadīta trokšņa mērīšanai (turpmāk - Regula 2024/1208)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gadījumos, ja ar regulām tiek grozītas direktīvu normas, svarīgi ņemt vērā, ka normas, kas skar direktīvas, ir jāpārņem nacionālajā tiesību sistēmā tādā pašā veidā, kā to dara direktīvu pārņemšanas gadījumos. Jo, neskatoties uz to, ka konkrētās direktīvas normu grozījumi ir ietverti regulā, atšķirībā no pašas regulas normām tie nav tieši piemērojami. Konkrētajā gadījumā Regulas 2024/1208 1. pants nosaka, ka: "Direktīvas 2000/14/EK III pielikumu aizstāj ar šīs regulas pielikumu", līdz ar to secināms, ka Regulas 2024/1208 pielikums nav uzskatāms par tieši piemērojamu, bet gan tas jāpārņem tādā pašā veidā kā direktīvu normas, ko lūdzam darīt, attiecīgi precizējot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25-TA-937</w:t>
    </w:r>
    <w:r>
      <w:br/>
    </w:r>
    <w:r w:rsidR="00000000" w:rsidRPr="00000000" w:rsidDel="00000000">
      <w:rPr>
        <w:rtl w:val="0"/>
      </w:rPr>
      <w:t xml:space="preserve">Izdrukāts 08.08.2025. 14.08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25-TA-937</w:t>
    </w:r>
    <w:r>
      <w:br/>
    </w:r>
    <w:r w:rsidR="00000000" w:rsidRPr="00000000" w:rsidDel="00000000">
      <w:rPr>
        <w:rtl w:val="0"/>
      </w:rPr>
      <w:t xml:space="preserve">Izdrukāts 08.08.2025. 14.08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Atzinumi_25-TA-937.docx</dc:title>
</cp:coreProperties>
</file>

<file path=docProps/custom.xml><?xml version="1.0" encoding="utf-8"?>
<Properties xmlns="http://schemas.openxmlformats.org/officeDocument/2006/custom-properties" xmlns:vt="http://schemas.openxmlformats.org/officeDocument/2006/docPropsVTypes"/>
</file>