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“Magnolijas”, Smārdes pagastā, Tukuma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nebūtu lietderīgi atkārtoti nosūtīt nekustamo īpašumu īpašniekiem, kas minēti anotācijā, vēstules ar aicinājumu noslēgt ceļa servitūta līgumus, lai nodrošinātu piekļuvi zemes vienībai, kadastra apzīmējums 9082 004 0338, ar nosaukumu “Magnolijas”.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Pārbaudot publiski pieejamo informāciju (</w:t>
            </w:r>
            <w:r w:rsidR="00000000" w:rsidRPr="00000000" w:rsidDel="00000000">
              <w:rPr>
                <w:i w:val="1"/>
                <w:rtl w:val="0"/>
              </w:rPr>
              <w:t xml:space="preserve">kadastrs.lv)</w:t>
            </w:r>
            <w:r w:rsidR="00000000" w:rsidRPr="00000000" w:rsidDel="00000000">
              <w:rPr>
                <w:rtl w:val="0"/>
              </w:rPr>
              <w:t xml:space="preserve">, secināms, ka atsavināmā zemes vienība “Magnolijas” atrodas starp valstij piederošo zemes vienību, kadastra apzīmējumu 9082 004 0111, ar nosaukumu “Šlokenbekas ieleja” un zemes vienību, kadastra apzīmējums 9082 004 0339, ar nosaukumu “Dižpļavas”.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2024.gada 25.jūnija sēdē pieņēma rīkojuma projektu par “Šlokenbekas ieleju” (Nr.24-TA-355). Saskaņošanas procesā no Tieslietu ministrijas tika saņemts iebildums par Publiskas personas mantas atsavināšanas likumā ietvertās starpgabala definīcijas interpretāciju. Minētais jautājums tika izdiskutēts starpinstitūcijas sanāksmē, un anotācija tika attiecīgi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rīkojuma projektā starpgabala interpretācija ir aprakstīta analoģiski (saskaņotam) iepriekš minētajam rīkojuma projektam. Vienlaikus šajā rīkojuma projektā ir izmantotas, tās pašas 2023.gada 25.aprīļa vēstules ar aicinājumu noslēgt ceļa servitūta līgumus. Lai gan anotācijā ir minēts, ka servitūta nodibināšanai ir piekritusi “Sēravoti” īpašniece (rīkojuma projektam nav pievienots, bet atrodas pielikumā rīkojuma projektam Nr.24-TA-355), vienošanās ar pārējiem zemes īpašniekiem nav panākta. Pirmšķietami būtu lietderīgi izvērtēt, vai vēstules nav nosūtāmas atkārtoti, ņemot vērā, ka kopš to izsūtīšanas ir pagājis vairāk nekā gads. Iespējams, vienošanos nav izdevies panākt, jo zemes īpašnieki kategoriski iebilst. Šādā gadījumā anotācija būtu jāpapildina ar informāciju par zemes īpašnieku iepriekšējo atbildi.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šī projekta virzību vai veikt nepieciešamos papildinājumus anotācijā, ņemot vērā, ka zemes īpašniekiem šajā laikā varētu būt mainījušās domas. Minētais priekšlikums ir būtisks, jo servitūta nodibināšanas gadījumā par zemes vienības atsavināšanu valsts potenciāli finansiāli iegūs vairāk. Cita starpā, lai gan tas tieši neattiecas uz šo rīkojuma projektu, spriežot pēc zemes vienību izkārtojuma, var pirmšķietami secināt, ka iespējams līdzīgs rīkojuma projekts (pamats un izmantojamās vēstules, tās pašas) varētu tikt virzīts arī attiecībā uz “Dižpļavas”. Tāpēc ir īpaši svarīgi, lai projekta virzītājs sniegtu savu vērtējumu jau šī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24-TA-1936</w:t>
    </w:r>
    <w:r>
      <w:br/>
    </w:r>
    <w:r w:rsidR="00000000" w:rsidRPr="00000000" w:rsidDel="00000000">
      <w:rPr>
        <w:rtl w:val="0"/>
      </w:rPr>
      <w:t xml:space="preserve">Izdrukāts 26.08.2024.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24-TA-1936</w:t>
    </w:r>
    <w:r>
      <w:br/>
    </w:r>
    <w:r w:rsidR="00000000" w:rsidRPr="00000000" w:rsidDel="00000000">
      <w:rPr>
        <w:rtl w:val="0"/>
      </w:rPr>
      <w:t xml:space="preserve">Izdrukāts 26.08.2024.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Atzinumi_24-TA-1936.docx</dc:title>
</cp:coreProperties>
</file>

<file path=docProps/custom.xml><?xml version="1.0" encoding="utf-8"?>
<Properties xmlns="http://schemas.openxmlformats.org/officeDocument/2006/custom-properties" xmlns:vt="http://schemas.openxmlformats.org/officeDocument/2006/docPropsVTypes"/>
</file>