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26-TA-92: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meža zemes "Ezernieki" Indrānu pagastā, Madonas novadā atsavināšanu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(Akcionāra protokols)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(Būves kadastrālās uzmērīšanas lietas)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(NĪVKIS izdruka)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(Nogabalu raksturojošie rādītāji)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(Padomes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(Robežu plāns)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(Valdes lēmums) (IP)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Papildu dokumenti (Zemesgrāmata)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05.02.2026.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11.02.2026.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Saskaņā ar Meža likuma 4. panta otro daļu un 44. panta ceturtās daļas piekto punktu atļaut akciju sabiedrībai "Latvijas valsts meži", atsavinot nekustamo īpašumu "Ezernieki" (nekustamā īpašuma kadastra Nr. 7058 019 0056) – zemes vienību (zemes vienības kadastra apzīmējums 7058 019 0056) 6,06 ha platībā, būvi – sarga ēku (būves kadastra apzīmējums 7058 019 0056 001), būvi – vasaras estrādi (būves kadastra apzīmējums 7058 019 0056 002), būvi – dīrātavu (būves kadastra apzīmējums 7058 019 0056 003), būvi – tūrisma un rekreācijas centrs (būves kadastra apzīmējums 7058 019 0056 010), būvi – sabiedrisko tualeti (būves kadastra apzīmējums 7058 019 0056 011) un būvi – viesu māju (būves kadastra apzīmējums 7058 019 0056 012) – Indrānu pagastā, Madonas novadā, atsavināt arī minētās zemes vienības sastāvā ietilpstošo meža zemi 0,70 ha platībā.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apakšsadaļas </w:t>
            </w:r>
            <w:r w:rsidR="00000000" w:rsidRPr="00000000" w:rsidDel="00000000">
              <w:rPr>
                <w:b w:val="1"/>
                <w:rtl w:val="0"/>
              </w:rPr>
              <w:t xml:space="preserve">"Pašreizējā situācija"</w:t>
            </w:r>
            <w:r w:rsidR="00000000" w:rsidRPr="00000000" w:rsidDel="00000000">
              <w:rPr>
                <w:rtl w:val="0"/>
              </w:rPr>
              <w:t xml:space="preserve"> aprakstā norādīts: "Pēc Nekustamā īpašuma valsts kadastra informācijas sistēmas (turpmāk – NĪVKIS) datiem, uz Zemesgabala papildus atrodas sešas inženierbūves – ārējais ūdensvads PE Ø25/1,3, PE Ø50/2,9 (kadastra apzīmējums 7058 019 0056 004), ārējā kanalizācija PVC Ø160 (kadastra apzīmējums 7058 019 0056 005), siltumtrase (kadastra apzīmējums 7058 019 0056 006), grantēts laukums un bruģēti celiņi (kadastra apzīmējums 7058 019 0056 007), teritorijas apgaismojums un elektroapgāde (kadastra apzīmējums 7058 019 0056 008), pirts kanalizācija PVC Ø160 (kadastra apzīmējums 7058 019 0056 009), kā arī nedzīvojamā ēka ar kadastra apzīmējumu 7058 019 0056 013. Atbilstoši Civillikuma 853. pantam visas tiesiskās attiecības, kas zīmējas uz galveno lietu, pašas par sevi attiecas arī uz tās blakus lietām, tāpēc Sabiedrība Nekustamo īpašumu atsavinās kopā ar visām uz Zemesgabala esošajām būvēm, kas ir nesaraujami saistītas ar Nekustamo īpašumu." Vēršam uzmanību, ka ,</w:t>
            </w:r>
            <w:r w:rsidR="00000000" w:rsidRPr="00000000" w:rsidDel="00000000">
              <w:rPr>
                <w:u w:val="single"/>
                <w:rtl w:val="0"/>
              </w:rPr>
              <w:t xml:space="preserve">pretēji anotācijā norādītajam, rīkojuma projekta 1. punkts neparedz minēto inženierbūvju atsavināšanu kopā ar galveno lietu</w:t>
            </w:r>
            <w:r w:rsidR="00000000" w:rsidRPr="00000000" w:rsidDel="00000000">
              <w:rPr>
                <w:rtl w:val="0"/>
              </w:rPr>
              <w:t xml:space="preserve">. Ņemot vērā minēto, aicinām precizēt rīkojuma projekta 1. punktu vai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Tiesiskai skaidrībai lūdzam anotācijā precīzi norādīt, kuri </w:t>
            </w:r>
            <w:r w:rsidR="00000000" w:rsidRPr="00000000" w:rsidDel="00000000">
              <w:rPr>
                <w:u w:val="single"/>
                <w:rtl w:val="0"/>
              </w:rPr>
              <w:t xml:space="preserve">Meža likuma 44. panta ceturtās daļas 5. punkta </w:t>
            </w:r>
            <w:r w:rsidR="00000000" w:rsidRPr="00000000" w:rsidDel="00000000">
              <w:rPr>
                <w:rtl w:val="0"/>
              </w:rPr>
              <w:t xml:space="preserve">nosacījumi tiek izpildīti saskaņā ar anotācijā minētajiem faktiem un Tiesību akta lietai pievienotajiem paskaidrojošajiem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atbilstoši Meža likuma 44. panta ceturtās daļas 5.punktam zemesgrāmatā ierakstītās valsts meža zemes (arī valsts akciju sabiedrības "Latvijas valsts meži" īpašumā esošās meža zemes) atsavināšanu vai privatizāciju var atļaut ar ikreizēju Ministru kabineta rīkojumu, privatizējot, kā arī atsavinot:</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 valstij piederošu būvi vai tās domājamo daļu kopā ar funkcionāli nepieciešamo zemes gabalu vai tā domājamo daļu, kura sastāvā ir valsts meža zeme;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neapbūvētu valstij piederošu zemes gabalu vai tā domājamo daļu, kura sastāvā ir valsts meža zeme, ja valsts meža zemes nodalīšana nav pieļaujama atbilstoši teritorijas attīstības plānošanas dokumentiem;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neapbūvētu valstij piederošu zemes gabalu vai tā domājamo daļu, kura sastāvā ir valsts meža zeme, ja pēc nodalīšanas veidojas tāds starpgabals Publiskas personas mantas atsavināšanas likuma izpratnē, kuru nav lietderīgi izmantot valsts vai pašvaldības funkciju veikšanai.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Anotācijas 1.3. apakšsadaļas</w:t>
            </w:r>
            <w:r w:rsidR="00000000" w:rsidRPr="00000000" w:rsidDel="00000000">
              <w:rPr>
                <w:b w:val="1"/>
                <w:rtl w:val="0"/>
              </w:rPr>
              <w:t xml:space="preserve"> "Pašreizējā situācija"</w:t>
            </w:r>
            <w:r w:rsidR="00000000" w:rsidRPr="00000000" w:rsidDel="00000000">
              <w:rPr>
                <w:rtl w:val="0"/>
              </w:rPr>
              <w:t xml:space="preserve"> aprakstā norādīti atsavināmā nekustamā īpašuma sastāvā esošajam zemesgabalam Nekustamā īpašuma valsts kadastra informācijas sistēmā reģistrēti apgrūtinājumi. Pilnīgas informācijas nodrošināšanai par atsavināmo zemi, aicinām anotāciju papildināt ar informāciju arī par zemesgrāmatā ierakstītajām lietu tiesībām, kas apgrūtina atsavināmo nekustamo īpašumu, un to ietekmi uz nekustamā īpašuma turpmāko izmantošanu pēc tā atsavināšanas.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u w:val="single"/>
                <w:rtl w:val="0"/>
              </w:rPr>
              <w:t xml:space="preserve">Pamatojums:</w:t>
            </w:r>
            <w:r w:rsidR="00000000" w:rsidRPr="00000000" w:rsidDel="00000000">
              <w:rPr>
                <w:rtl w:val="0"/>
              </w:rPr>
              <w:t xml:space="preserve"> Ministru kabineta 2021. gada 7. septembra noteikumu Nr.617 "Tiesību akta projekta sākotnējās ietekmes izvērtēšanas kārtība" 2. punkts noteic, ka sākotnējās ietekmes izvērtēšanas mērķis ir apzināt ietekmi un sekas, ko var radīt projekts, un, pamatojoties uz iegūtajiem secinājumiem, izvēlēties piemērotāko regulējuma apjomu, saturu un formu. </w:t>
            </w:r>
            <w:r w:rsidR="00000000" w:rsidRPr="00000000" w:rsidDel="00000000">
              <w:rPr>
                <w:u w:val="single"/>
                <w:rtl w:val="0"/>
              </w:rPr>
              <w:t xml:space="preserve">Sākotnējās ietekmes izvērtēšanas rezultātus atspoguļo anotācijā.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Sandris Rāgs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26-TA-92</w:t>
    </w:r>
    <w:r>
      <w:br/>
    </w:r>
    <w:r w:rsidR="00000000" w:rsidRPr="00000000" w:rsidDel="00000000">
      <w:rPr>
        <w:rtl w:val="0"/>
      </w:rPr>
      <w:t xml:space="preserve">Izdrukāts 05.02.2026. 15.44</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26-TA-92</w:t>
    </w:r>
    <w:r>
      <w:br/>
    </w:r>
    <w:r w:rsidR="00000000" w:rsidRPr="00000000" w:rsidDel="00000000">
      <w:rPr>
        <w:rtl w:val="0"/>
      </w:rPr>
      <w:t xml:space="preserve">Izdrukāts 05.02.2026. 15.44</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Atzinumi_26-TA-92.docx</dc:title>
</cp:coreProperties>
</file>

<file path=docProps/custom.xml><?xml version="1.0" encoding="utf-8"?>
<Properties xmlns="http://schemas.openxmlformats.org/officeDocument/2006/custom-properties" xmlns:vt="http://schemas.openxmlformats.org/officeDocument/2006/docPropsVTypes"/>
</file>