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sniedzējs sadarbībā ar nozares ministriju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 </w:t>
            </w:r>
            <w:r w:rsidR="00000000" w:rsidRPr="00000000" w:rsidDel="00000000">
              <w:rPr>
                <w:rtl w:val="0"/>
              </w:rPr>
              <w:t xml:space="preserve"> apakšpunktā noteikto uzraudzības rādītāja un mērķrādītāja sasniegšanu pamato ar dokumentu, kurā aprakstīts, kā tika atbilstīgi izpildīts mērķa rādītājs (tostarp visi elementi), iekļaujot šādus dokumentārus pierādījumus: ziņojumus, kurus iesniedzis finansējuma saņēmējs, tai skaitā, iekļaujot dokumentārus pierādījumus, ka galapatērētājiem attiecīgajos objektos ir iespēja abonēt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sakaru pakalpojumu ne vēlāk kā mēneša laikā pēc tam, kad patērētājs paziņojis par šādu izvēli, un apstiprinājis atbalsta sniedzējs un kuros norādīts mērķa rādītāja aprakstā noteiktais saņēmēju skaits; investīciju kartējumu, kurā norādīta to dzīvojamo ēku, uzņēmumu, izglītības iestāžu un citu sabiedrisku ēku atrašanās vieta, kam ir nodrošināta platjoslas piekļuve ļoti augstas veiktspējas tīklam.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uzskaitīt, kāda informācija būtu jānorāda par mērķa rādītāja izpildi, jo no šī brīža noteikumu redakcijas "dokuments, kurā aprakstīts, kā tika atbilstīgi izpildīts mērķa rādītājs (tostarp visi elementi)", nav saprotams, kāda informācija un kam būtu sniedzama. Vienlaikus, ņemot vērā, ka visa ar projektiem saistītā informācija, tai skaitā par sasniegtajiem rādītājiem, būs pieejama Kohēzijas politikas fondu vadības informācijas sistēmā, lūdzam izvērtēt, vai šāda prasība nerada papildu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ir norādīts, ka finansējuma saņēmējam kā rezultātu pamatojošais dokuments ir jāiesniedz gan ziņojums, gan veikto investīciju kartējums, lūdzam papildināt šo noteikumu 26.punktu ar pienākumu finansējuma saņēmējam kopā ar noslēguma maksājuma pieprasījumu iesniegt šādu informāciju, precīzi norādot, kāda informācija būtu iekļaujama ziņojumā, kā arī kādā formātā kartējums būtu iesniedzams.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18.punktu ar nozares ministrijas pienākumiem, kas būtu veicami šāda dokumenta par rādītāju sasniegšanu sagatavošanā.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Teilāne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(turpmāk – PVN) izmaksas, kuras finansējuma saņēmējs norāda projekta iesniegumā un veic projekta ietvaros, nav attiecināmas finansēšanai no Atveseļošanās fonda finansējuma. Finansējuma saņēmējs PVN izmaksas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17.punktu un norādīt, kas tiek saprasts ar jēdzienu "sedz no saviem līdzekļiem". Vēršam uzmanību, ka komercdarbības atbalsta kontroles kontekstā ar saviem līdzekļiem tiek saprasti tādi resursi, par kuriem nav saņemts nekāds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sadarbības partneri var būt elektronisko sakaru komersants, kuram ir tiesības sniegt elektronisko sakaru pakalpojumus un nodrošināt elektronisko sakaru tīklu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nosacījumu par finansējuma saņēmēja un sadarbības partnera savstarpējās sadarbības savstarpējiem pienākumiem, kas būtu atrunājami sadarbības līgumā, kā arī norādīt, cik ilgā laikā pēc projekta apstiprināšanas šāds līgums būtu jānoslēdz.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Teilāne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iesniedzēja un projekta sadarbības partnera (ja attiecināms) apliecinājumu, ka tas neatbilst Latvijas Republikas normatīvajos aktos noteiktajiem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tas dublē 25.8.apakšpunktā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projekta iesniedzēja un sadarbības partnera (ja tāds ir paredzēts) apliecinājumu, ka projekta iesnieguma veidlapa vadības informācijas sistēmā tiek iesniegta pirms sākas darbs pie projekta vai pirms sākas darbība atbilstoši </w:t>
            </w:r>
            <w:r w:rsidR="00000000" w:rsidRPr="00000000" w:rsidDel="00000000">
              <w:rPr>
                <w:rtl w:val="0"/>
              </w:rPr>
              <w:t xml:space="preserve">regulas Nr. 651/2014</w:t>
            </w:r>
            <w:r w:rsidR="00000000" w:rsidRPr="00000000" w:rsidDel="00000000">
              <w:rPr>
                <w:rtl w:val="0"/>
              </w:rPr>
              <w:t xml:space="preserve"> 6.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šī apliecinājuma nepieciešamība, jo jebkurā gadījumā atbalsta sniedzējam ir jāpārliecinās, ka attiecībā uz atbalsta saņēmēju izpildās stimulējošās ietekmes nosacījums. Vēršam uzmanību, ka ar apliecinājumu par to pārliecināties nevar. Lūdzam dzēst šo apakšpunktu. Vienlaikus lūdzam atbilstoši precizēt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iesniegumus atlasa atklātā projektu iesniegumu atlasē atbilstoši </w:t>
            </w:r>
            <w:r w:rsidR="00000000" w:rsidRPr="00000000" w:rsidDel="00000000">
              <w:rPr>
                <w:rtl w:val="0"/>
              </w:rPr>
              <w:t xml:space="preserve">regulas Nr. 651/2014</w:t>
            </w:r>
            <w:r w:rsidR="00000000" w:rsidRPr="00000000" w:rsidDel="00000000">
              <w:rPr>
                <w:rtl w:val="0"/>
              </w:rPr>
              <w:t xml:space="preserve"> 52. panta 7. punkta a)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visi nosacījumi par atlases nodrošināšanu ir jau ietverti Komisijas regulas Nr. 651/2014 52. panta 7. punkta a) apakšpunktā, attiecīgi, lai neradītu nepamatotas interpretācijas risku, lūdzam dzēst vārdus: "atklātā projektu iesniegumu atlasē". Skaidrojam, ka uz katru adresi ir jābūt iepirkuma procedūrai, kā skaidrots Komisijas regulas Nr. 651/2014 52. panta 7. punkta a) apakšpunktā, lūdzam precizēt noteikumu projektu un skaidrot anotācijā, vai, piemēram, attiecībā uz katru plānošanas reģionu būs viens uzsaukums, kurā tiks izvēlēts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Komercdarbības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MK noteikumu projektā nav norādīts punkts, kā tiek noteikta atbalsta maksimālā summa atbilstoši regulas Nr. 651/2014 52. panta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maksimālo summu projektam nosaka, pamatojoties uz konkursa procedūru, kā noteikts 6. punkta a) apakšpunktā. Ja ieguldījumu veic saskaņā ar 6. punkta b) apakšpunktu bez konkursa procedūras, atbalsta summa nepārsniedz starpību starp attiecināmajām izmaksām un normālu pamatdarbības peļņu no ieguldījuma. Pamatdarbības peļņu atskaita no attiecināmajām izmaksām ex ante saskaņā ar pamatotām prognozēm un pārbauda ex post, izmantojot atgūšanas mehānismu. Pasākuma pamatotajās prog nozēs ņem vērā visas izmaksas un visus ieņēmumus, kas varētu rasties ieguldījuma saimnieciskajā ciklā.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maksimālo atbalsta intensitāti plānots ir noteikt veicot izmaksu un ieguvumu analīzi tad MK noteikumu projekts ir jāpapildina arī ar punktu par neto ieņēmumu pārbaudi projekta pārskata perioda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pārskata periodā (projekta dzīves cikla laikā) ir radusies lielāka peļņa no pamatdarbības, nekā projektā plānots, finansējuma saņēmējs projekta pārskata perioda (projekta dzīves cikla) beigās veic izmaksu un ieguvumu analīzes pārrēķinu un sadarbības iestādei atmaksā starpību starp faktisko un plānoto peļņu no pamatdarbības.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w:t>
            </w:r>
            <w:r w:rsidR="00000000" w:rsidRPr="00000000" w:rsidDel="00000000">
              <w:rPr>
                <w:rtl w:val="0"/>
              </w:rPr>
              <w:t xml:space="preserve">Komisijas Regulas (ES) Nr. 702/2014 (2014. gada 25. jūnijs), ar kuru konkrētas atbalsta kategorijas lauksaimniecības un mežsaimniecības nozarē un lauku apvidos atzīst par saderīgām ar iekšējo tirgu, piemērojot Līguma par Eiropas Savienības darbību 107. un 108. pantu</w:t>
            </w:r>
            <w:r w:rsidR="00000000" w:rsidRPr="00000000" w:rsidDel="00000000">
              <w:rPr>
                <w:rtl w:val="0"/>
              </w:rPr>
              <w:t xml:space="preserve">, 1. panta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noteikumu projekta 43.3.apakšpunkts jau ietver šo nosacījumu, skat., Komisijas regulas Nr.651/2014 1.panta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piešķiršanas brīdis ir atbalsta sniedzēja lēmums par projekta apstiprināšanu vai atzinums par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kādām darbībām tiks piesaistīts sadarbības partneris, kurš arī var būt elektronisko sakaru komersants kā projekta iesniedzējs. Skaidrojam, ka atbalstu saskaņā ar Komisijas regulas Nr.651/2014 52.pantu atbalstu piešķir atbalsta saņēmējam, labuma guvējam, infrastruktūras īpašniekiem, proti, ja sadarbības partneris būtu, piemēram, infrastruktūras īpašnieks vai elektronisko pakalpojumu sniedzējs izbūvētajā infrastruktūrā, tad attiecīgi tas arī būtu atbalsta saņēmējs ar iepriekš minēto regulējumu un būtu vērtējams Komisijas regulas Nr.651/2014 kontekstā. Ja gadījumā sadarbības partnera iesaiste ir kaut kādā mērā ierobežota, lūdzam to skaidrot anotācijā un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kritērija Nr. 3.6. "Valsts atbalsta programmas Nr.SA.33324 (2011/N) „Nākamās paaudzes tīkli lauku" maksimāli iespējamais punktu skaits (12) pārsniedz aprakstā minēto maksimālo punktu skaitu (13).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maksimālo punktu skaitu (100). Piedāvātā kritēriju redakcija paredz, ka maksimāli var saņemt 109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informācija attiecībā uz kritērija Nr.10 "Piedāvātā risinājuma ietekme uz konkurenci, ietverot vairumtirdzniecības līmeņa piekļuves nosacījumus un piekļuves cenas noteikšanu, vairāk punktu piešķirot tādai tīkla topoloģijai, kas nodrošina atsaistes iespējas un kurai ir labvēlīgāki piekļuves nosacījumi" vērtēšanu un piešķiramo punktu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kritērijiem ir jānodrošina, lai tiktu izvēlēts pretendents atbilstoši iepirkuma nosacījumiem, kā to paredz Komisijas regulas Nr.651/2014 52.panta 2.punkts un kā to ir skaidrojusi Satiksmes ministrija. Lūdzam iekļaut kritēriju, ka tiek izvēlēts saimnieciski izdevīgākais piedāvājums un tiek organizēts konkurss uz konkrētu teritoriju. Alternatīvi, ja iepirkuma nosacījumus piemērot nav iespējams, lūdzam noteikumos un kritērijos ietvert prasības atbilstoši Komisijas regulas Nr.651/2014 52.panta 2.punktam.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3.3.1. kvalitātes kritērija "Vairumtirdzniecības līmeņa pakalpojumu piedāvājums" sniegto skaidrojumu, lūdzam skaidrot, ko saprot un kādā veidā veidā var pārsniegt Eiropas Komisijas 2014. gada 17. jūnija regulas Nr. 651/2014, ar ko noteiktas atbalsta kategorijas atzīst par saderīgām ar iekšējo tirgu, piemērojot Līguma 107. un 108. pantu, 52. panta 8. punktu un 52. panta 9. punkta c) apakšpunktu, jo 52. panta 9. punkta c) apakšpunktu noteic orientēšanos uz izmaksām vai metodiku un nav skaidrs, kā praksē šis kritērijs tiks vērtēts. Lūdzam to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kvalitātes kritērijā Nr.3.4. dzēst "Jā, ar nosacījumu". Skaidrojam, ka kvalitātes kritērijā šāds vērtējums nav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kritērija "piešķir 0 punktus" skaidrojumu. Kritēriju līmenī netiek vērtēts lēmuma saturs, ietvertie nosacījumi lēmumā (lēmums iet secīgi pēc vērtēšanas).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Sporāne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kvalitātes kritērijā Nr.3.3.2 teksta daļu, kurā ietverts "Jā, ar nosacījumu". Skaidrojam, ka kvalitātes kritērijā nevar būt vērtējums "Jā, ar nosacījumu". Šādi vērtējumi ir attiecināmi uz atbilstības kritērijiem. Ja iekļautā informācija ir viennozīmīga, sākotnēji tiek izvirzīts labticīgākais variants citā kritērijā izvirzot nosacījumu, vēršot uzmanību, ka projekta iesniegums tik pārvērtēts kvalitātes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Sporāne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Nr.1.1. otro vērtējumu mainīt uz "Vērtējums ir “Nē”.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Sporāne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atbilstības kritērijā 2.1. "Projekta iesniegums atbilst komercdarbības atbalsta nosacījumiem atbilstoši MK noteikumos par pasākuma īstenošanu noteiktajam", sniegt pilnu kritēriju piemērošanas skaidrojumu, ņemot vērā 7. zemsvītras atsaucē skaidroto, kā arī to, ka šis kritērijs prasa skaidrot visus ar komercdarbības atbalstu saistītos nosacījumus, ne tikai noteikumu projekta  25.6. un 26.7. apakšpunktā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V sadaļā jau ir ietverts noteikumu projekta atbilstības izvērtējums pret Komisijas regulu Nr.651/2014, lūdzam nepievienot anotācijai atsevišķu izvērtējuma failu. Vēršam uzmanību, ka tajā ietvertā informācija pilnībā neatbilst aktuālajai noteikumu projekta versijai.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"Plānotie ieguldījumi indikatīvi var pārklāties ar Eiropas Reģionālās attīstības fonda atbalstāmajām darbībā". No dubultā finansējuma viedokļa nav pieļaujams, ka ieguldījumi pārklājas vai tiek veikti tieši tajā pašā vietā. Lai neveidotos dubultā finansējuma riski,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pievienotā valsts atbalsta izvērtējuma 4. un 5.punktā ir atsauce uz kartografēšanas rezultātiem, lūdzam norādīt, kurā vietā šāds kartogrāfiskais materiāls ir pieejams, lai gan projekta iesnieguma vērtēšanas, gan projekta īstenošanas laikā atbalsta sniedzējam būtu iespējams pārliecināties par valsts atbalsta nosacījumu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Teilāne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izmaksas, kas skar tīkla izbūves procesa sastāvdaļas noteikumu 15.3., 15.4., 15.5., 15.7. un 15.9.apakšpunktos ir tādas, kas atbilst Komisijas regulas 651/2014 52.panta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54.punkta izvērtējumu pret Komisijas regulas Nr. 651/2014 52. panta 10. punktu, ņemot vērā, ka nosacījums par nelikumīga atbalsta atgūšanu neizriet no Komisijas regulas Nr. 651/2014 52. panta 10.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izmaiņas "pēdējās jūdzes" elektronisko sakaru tīklu infrastruktūras attīstīšanas modelī, svītrojot prasību par augšupielādes ātruma nodrošināšanu, ar mērķi veicināt konkurenci atklāta konkursa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aprakstīt, kuru dokumentu plāno mainīt, t.sk. svītrojot prasību par augšupielādes ātruma nodrošināšanu, ar mērķi veicināt konkurenci atklāta konkursa atlasē. Gadījumā, ja runa ir par 2.4.1.2.i. MK noteikumu projektu, tad tas vēl nav apstiprināts un nevar tikt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līdz 2024. gada 31. decembrim mājsaimniecību, uzņēmumu, izglītības iestāžu, ārstniecības iestāžu un citu sabiedrisko ēku skaits, kam ir piekļuve platjoslas savienojumiem ar ļoti augstas veiktspējas tīklu 100 Latgales plānošanas reģionā, 100 Vidzemes plānošanas reģionā, 100 Rīgas plānošanas reģionā, 100 Zemgales plānošanas reģionā, 100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mērķa nosaukumu atbilstoši Eiropas Padomes 2021.gada 6.jūlija lēmuma par Latvijas Atveseļošanas un noturības mehānisma plāna izvērtējuma apstiprināšanu pielikumam: "Mājsaimniecību, uzņēmumu, skolu, slimnīcu un citu publisko ēku skaits, kurām ir piekļuve platjoslas savienojumiem ar ļoti augstas veiktspējas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2.4.1.2.i. investīcijas projekta īstenošanas laikā finansējuma saņēmējs, par kura projektu ir atbalsta sniedzēja lēmums par projekta apstiprināšanu vai atzinums par nosacījumu izpildi,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punktā piebildi  "par kura projektu ir atbalsta sniedzēja lēmums par projekta apstiprināšanu vai atzinums par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starpposma maksājumus atbilstoši faktiskajām izmaksām, bet nepārsniedzot 2661 EUR uz vienu mājsaimniecību vai uzņēmumu, izglītības iestādi, ārstniecības iestādi un citu sabiedrisko ēku (adrese), kam nodrošināta piekļuve ļoti augstas veiktspējas tīklam, tas ir, proporcionāli sasniegtajam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minētajam investīcijas mērķrādītājam. Starpposma maksājumu kopsumma nevar pārsniegt 90% no kopējā projekta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skaidrot anotācijā, kā tiek rēķināts 2661 EUR uz adresi, proti, vai projekta ietvaros visu adrešu vidējais nedrīkst pārsniegt 2661 EUR vai arī katras adreses maksimums ir 2661 EUR. Skaidrojam, ka no valsts atbalsta viedokļa (Komisijas regulas Nr.651/2014 52.panta 2.punkts paredz, ka attiecināmas ir visas fiksētā platjoslas tīkla izbūves, pārvaldības un ekspluatācijas izmaksas, ja atbalsta maksimālo summu projektam nosaka, pamatojoties uz konkursa procedūru) atbalsts nevarētu pārsniegt faktiskās izmaksas uz katru adresi un, protams, atbalsta sniedzējs var ierobežot, ja faktiskās izmaksas uz adresi ir lielākas. Lūdzam izvērtēt, vai noteikumu 13.1.apakšpunkts nebūtu precizējams, piemēram, aiz vārda "faktiskajām izmaksām" papildinot ar vārdiem "uz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projekta iesnieguma iesniegšanu atbalsta sniedzējam pirms sākas darbs pie projekta vai pirms sākas darbība atbilstoši </w:t>
            </w:r>
            <w:r w:rsidR="00000000" w:rsidRPr="00000000" w:rsidDel="00000000">
              <w:rPr>
                <w:rtl w:val="0"/>
              </w:rPr>
              <w:t xml:space="preserve">regulas Nr. 651/2014</w:t>
            </w:r>
            <w:r w:rsidR="00000000" w:rsidRPr="00000000" w:rsidDel="00000000">
              <w:rPr>
                <w:rtl w:val="0"/>
              </w:rPr>
              <w:t xml:space="preserve"> 6.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26.7. apakšpunkts dublē 25.9. apakšpunktu un 41. punktu. Līdz ar to lūdzam izvērtēt un attiecīgi precizēt apvienojot iepriekšminēto noteikumu projekta punktu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Sporāne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interešu konflikta, korupcijas, krāpšanas novēršanas un dubultā finansējuma riska novēršanas nosacījumu ievērošanu un sasniegto atskaites punktu un mērķu pamatojošās dokumentāciju, t.sk. datu ticamības pārbaudi visā projekta laikā,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attiecībā arī uz sadarbības partneriem tiek ievērota interešu konflikta neesamība.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Atbalsts tiek sniegts, ja uz projekta iesniedzēju vai darbībām nav attiecināmi: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43. punkta ievadu ar vārdiem "un sadarbības partneri", ņemot vērā, ka arī sadarbības partneri tiek izvērtēti atbilstoši izslēgšanas nosacījumiem. Skat. noteikumu projekta 21. punktā ietverto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izveido Subsidēto elektronisko sakaru tīklu uzraudzības komiteju, kura nodrošina 2.4.1.2.i. investīcijas rezultātā izveidotās infrastruktūras uzraudzību, ievērojot </w:t>
            </w:r>
            <w:r w:rsidR="00000000" w:rsidRPr="00000000" w:rsidDel="00000000">
              <w:rPr>
                <w:rtl w:val="0"/>
              </w:rPr>
              <w:t xml:space="preserve">regulas 651/2014</w:t>
            </w:r>
            <w:r w:rsidR="00000000" w:rsidRPr="00000000" w:rsidDel="00000000">
              <w:rPr>
                <w:rtl w:val="0"/>
              </w:rPr>
              <w:t xml:space="preserve"> 52. panta 8. un 9.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ir norādīts, ka Subsidēto elektronisko sakaru tīklu uzraudzības komitejas mērķis ir valsts atbalsta nosacījumu uzraudzība. Savukārt, no MK noteikumos paredzētajiem nosacījumiem, īpaši 46.punkta redakcijas, var secināt, ka šī komiteja nodrošina tikai izveidotās infrastruktūras uzraudzību. Ierosinām precizēt un saskaņot MK noteikumos un anotācijā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Teilāne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 iemeslu dēļ tika dzēsts kritērijs Nr. 3.3.1. "Tīkla topoloģijas nodrošinātās atsaistes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piešķirti punkti par kritērija Nr. 3.2. "Ikmēneša abonēšanas cena galalietotājam" izpildi, ja formulas iekavās esošais rezultāts būs lielāks par 1, tādējādi kopējais piešķiramais punktu skaits būs lielāks par maksimāli pieļaujamo punktu skaitu - 20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kvalitātes kritērijā Nr.3.5 teikuma daļu "0 punktus piešķir, ja PIV nav ietverta informācija par klientu apkalpošanu un pakalpojumu sniegšanu", jo teksts tiek dublēts.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Sporāne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kvalitātes kritērijā Nr.3.4. norāde uz  ātrumu (augšupielādes) nav maināms saistībā ar anotācijā norādīto</w:t>
            </w:r>
            <w:r w:rsidR="00000000" w:rsidRPr="00000000" w:rsidDel="00000000">
              <w:rPr>
                <w:i w:val="1"/>
                <w:rtl w:val="0"/>
              </w:rPr>
              <w:t xml:space="preserve">: Vienlaikus jāmin, ka, ņemot vērā regulas (ES) Nr. 651/2014 prasības, ir paaugstināts minimālais lejupielādes lielums no 100 Mbit/s uz 300 Mbit/s. Līdz ar to Ministru kabineta protokollēmuma projektā ierosināts: “Apstiprināt izmaiņas “pēdējās jūdzes” elektronisko sakaru tīklu infrastruktūras attīstīšanas modelī, </w:t>
            </w:r>
            <w:r w:rsidR="00000000" w:rsidRPr="00000000" w:rsidDel="00000000">
              <w:rPr>
                <w:b w:val="1"/>
                <w:i w:val="1"/>
                <w:rtl w:val="0"/>
              </w:rPr>
              <w:t xml:space="preserve">svītrojot prasību par augšupielādes</w:t>
            </w:r>
            <w:r w:rsidR="00000000" w:rsidRPr="00000000" w:rsidDel="00000000">
              <w:rPr>
                <w:i w:val="1"/>
                <w:rtl w:val="0"/>
              </w:rPr>
              <w:t xml:space="preserve"> ātruma nodrošināšanu, ar mērķi veicināt konkurenci atklāta konkursa atlasē.”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Sporāne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20.10.2023.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20.10.2023.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