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3.2.1. specifiskā atbalsta mērķa “Attīstīt noturīgu aizsardzības infrastruktūru, prioritāti atbalstot divējāda lietojuma infrastruktūru, kā arī uzlabot civilo sagatavotību” 3.2.1.1. pasākuma “Bezpilota lidaparātu uztveršanas, identifikācijas, izsekošanas un pretdarbības risinājuma ieviešana”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ja attiecināms, projekta ietvaros, veicot iepirkumus, nodrošina vides prasību integrāciju preču un pakalpojumu iepirkumos (zaļais publiskais iepirkums) un, kur tas ir attiecināms un atbilstošs ieguldījumu specifikai, publiskos iepirkumus var īstenot sociāli atbildīgā veidā, piemērojot sociāli atbildīgā publiskā iepirkuma un inovatīvā publiskā iepirkuma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komercdarbības atbalstu preču un pakalpojumu piegādātāju līmenī (ekonomiskās priekšrocības pazīmi), lūdzam papildus jau esošajai noteikumu projekta 22.7. apakšpunktā noteiktajam paredzēt noteikumu projektā normu par to, ka finansējuma saņēmējs projekta īstenošanai nepieciešamās preces un pakalpojumus iegādājas saskaņā ar normatīvajiem aktiem publisko iepirkumu jomā, īstenojot atklātu, pārredzamu, nediskriminējošu un konkurenci nodrošinošu konkursa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skaidrot, kā tieši tiks nodrošināta Komisijas paziņojuma Pamatnostādnes par valsts atbalstu lidostām un aviokompānijām (2014/C 99/03) (turpmāk - Komisijas paziņojums) 37. punktā minētā nosacījuma izpilde, respektīvi, kā tiks nodrošināts tas, ka plānotais atbalsts neradīs nepamatotu diskrimināciju starp lidostām un Rīgas lidostai netiks piešķirta priekšrocība attiecībā pret pārējām lidostām, jo anotācijā skaidrotais “</w:t>
            </w:r>
            <w:r w:rsidR="00000000" w:rsidRPr="00000000" w:rsidDel="00000000">
              <w:rPr>
                <w:i w:val="1"/>
                <w:rtl w:val="0"/>
              </w:rPr>
              <w:t xml:space="preserve">Komisijas paziņojuma 37.punkta izpildes ietvaros, plānotais atbalsts neradīs nepamatotu diskrimināciju starp lidostām un Rīgas lidostai netiks piešķirta priekšrocībā attiecībā pret pārejām lidostām jo plānotais atbalsts tiek piešķirts ar saimniecisko darbību nesaistītām darbībām</w:t>
            </w:r>
            <w:r w:rsidR="00000000" w:rsidRPr="00000000" w:rsidDel="00000000">
              <w:rPr>
                <w:rtl w:val="0"/>
              </w:rPr>
              <w:t xml:space="preserve">.”, nedod skaidru atbildi, kādas darbības tiks veiktas, lai ievērotu Komisijas paziņojuma 37. punktā minētā nosacījuma izpildi. Ņemot vērā iepriekš minēto, lūdzam papildināt anotāciju ar skaidrojumu, kādi faktori (piemēram, publisko līdzekļu piešķīrums līdzīgām darbībām, kas saistītas ar drošību, arī pārējām lidostām Latvijā; varbūt ir informācija, ka citās reģionālajās lidostās jau ir pieejams šāds tehnoloģiskais atbalsts) nodrošinās  nediskriminējošu attieksmi  attiecībā uz citām reģionālajām lidostām.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projektu iesniegumu vērtēšanas kritērijiem, t.i., vai tiks piemērots izņēmums (norādām, ka 1.3.1.4. pasākums "Vienota civilās aviācijas pārvaldības un uzraudzības sistēmas izveide" ar Uzraudzības komitejas 09.06.2025. lēmumu Nr.2025/5.2-6/16/41 ir iekļauts ierobežotu projektu iesniegumu atlašu sarakstā, kurām piemērojams izņēmums attiecībā uz vienoto kritēriju un vienoto izvēles kritēriju piemērošanu apstiprināšanu) vai tiks virzīts jauns kritēriju komplekts apstiprināšanai ES fondu uzraudzības komitejā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28.10.2025.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28.10.2025.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Atzinumi_25-TA-1859.docx</dc:title>
</cp:coreProperties>
</file>

<file path=docProps/custom.xml><?xml version="1.0" encoding="utf-8"?>
<Properties xmlns="http://schemas.openxmlformats.org/officeDocument/2006/custom-properties" xmlns:vt="http://schemas.openxmlformats.org/officeDocument/2006/docPropsVTypes"/>
</file>