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23-TA-3158: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informatīvo  ziņojumu  “Par vēlēšanu procesu nodrošināšanai nepieciešamo informācijas un komunikācijas tehnoloģiju,  resursu apjomu un ilgtermiņa vīziju”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 “Risinājuma ilgtermiņa attīstības plāns” ar pielikumu - konsultanta SIA “Ernst &amp;Young Baltic” sagatavotie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(2.pielikums_Biznesa procesu salīdzinājums ar ārvalstu pieredzi no publiski pieejamajiem informācijas avotiem)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(3.pielikums_Esosas situacijas zinojums un risinajuma tehnologiskais audits ar pielikumiem)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(4.pielikums_ETVR apkalpojošā personāla atlidzības aprēķins)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4.sadaļas 1.tabulā precizēt kopējo programmatūras izstrādei nepieciešamo finansējumu, jo atbilstoši norādītajam finansējuma sadalījumam pa posmiem tā kopsumma saskaņā ar aprēķinu ir 8 215 850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skaidrot, kā noteikts protokollēmuma projekta 5.punktā noteiktais papildu nepieciešamais Atveseļošanas un noturības mehānisma finansējums 1,2 milj. euro, ja ziņojuma 4.sadaļas 1.tabulā norādīts, ka Atveseļošanas un noturības mehānisma finansējums kā avots paredzēts investīcijām 2,9 milj. euro un 1,15 milj. euro apmērā, kas kopā veido 4,05 milj. euro, savukārt ziņojuma 4.sadaļas pirmspēdējā rindkopā norādīts, ka Atveseļošanas un noturības mehānisma projektam “Vēlēšanu procesu digitalizācija un automatizācija” paredzētais finansējuma apjoms ir 3,36 milj. euro, kas attiecīgi veido starpību 0,69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4.sadaļā aiz 1.tabulas papildināt ar informāciju, kā noteikts investīciju apmērs izmaksu pozīcijai “Papildposms - Skenēšanas iekārtu maiņa”, sniedzot attiecīgu aprēķinu un norādot, kurai institūcijai finansējums ir nepieciešams, turklāt lūdzam arī ziņojumā norādīt, kā plānots risināt jautājumu par finansējuma nodrošināšanu šai izmaksu pozīcijai, ievērojot protokollēmuma projekta 10.punktā paredzēto. Vienlaikus lūdzam ziņojumā sniegt informāciju par rīcību, ja valsts budžeta likumprojekta sagatavošanas procesā finansējums skenēšanas iekārtu maiņai netiks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4.sadaļas pirmspēdējā rindkopā attiecībā uz papildfinansējumu 1.posma aktivitātēm precizēt un sniegt skaidrojumu, vai minētajām aktivitātēm finansējums būtu nodrošināmas, ievērojot protokollēmuma projekta 5.punktā noteikto, vai arī finansējums tām tiks pieprasīts no budžeta resora "74. Gadskārtējā valsts budžeta izpildes procesā pārdalāmais finansējums" budžeta programmā 21.00.00 "Finansējums vēlēšanu nodrošināšanai" rezervētā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13.06.2023. sēdes protokollēmumu Nr.32 63.§ 9.punktu budžeta resora "74. Gadskārtējā valsts budžeta izpildes procesā pārdalāmais finansējums" budžeta programmā 21.00.00 "Finansējums vēlēšanu nodrošināšanai"  tika rezervēts finansējums Eiropas Parlamenta vēlēšanu nodrošināšanai un atbalstam vēlēšanu organizēšanā 2024. gadam 1 929 018 euro apmērā, 2025. gadam 817 611 un 2026. gadam 817 611 euro apmērā. Ievērojot Ministru kabineta 26.09.2023. sēdes protokola Nr.47 43. § 14.punktu tika paredzēta finansējuma pārdale no minētās budžeta programmas uz Vides aizsardzības un reģionālās attīstības ministrijai budžeta programmu 32.00.00 "Valsts reģionālās attīstības politikas īstenošana" 2024. gadam 396 424 euro apmērā, 2025. gadam 298 278 euro apmērā un 2026. gadam 311 430 euro apmērā, tai skaitā 5 amata vietu atlīdzībai 2024.gadā 281 424 euro apmērā, 2025.gadam 298 278 euro apmērā un 2026.gadam 311 430 euro apmērā, kā arī konsultāciju pakalpojumam 2024.gadam 115 000 euro apmērā. Attiecīgi likumā “Par valsts budžetu 2024. gadam un budžeta ietvaru 2024., 2025. un 2026. gadam” budžeta resora "74. Gadskārtējā valsts budžeta izpildes procesā pārdalāmais finansējums" budžeta programmā 21.00.00 "Finansējums vēlēšanu nodrošināšanai" šobrīd plānots finansējums 2024. gadam 1 532 594 euro apmērā, 2025. gadam 519 333 euro apmērā un 2026. gadam 506 181 euro apmērā, kuru ir iespējams pieprasīt atbilstoši likuma “Par valsts budžetu 2024. gadam un budžeta ietvaru 2024., 2025. un 2026. gadam” 73.pantā noteiktajam. Ņemot vērā minēto, lūdzam precizēt ziņojuma 4.sadaļas pēdējā rindkopā norādīto informāciju, tai skaitā sniedzot informāciju par jau Vides aizsardzības un reģionālās attīstības ministrijas budžetā piešķirto finansējumu, gan arī finansējumu, kas tiks pieprasīts kā pārdale no budžeta resora "74. Gadskārtējā valsts budžeta izpildes procesā pārdalāmais finansējums" budžeta programmā 21.00.00 "Finansējums vēlēšanu nodrošināšanai" rezervētā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iekļaut kopsavilkuma tabulu, kurā būtu norādīts kopējais finansējums attiecībā uz vēlēšanu procesu nodrošināšanai nepieciešamo informācijas un komunikācijas tehnoloģiju un resursu apjomu, ņemot vērā, ka ziņojumā ir sniegtas norādes arī par atlīdzības finansējumu, tai skaitā norādot visiem pasākumiem risinājumu par finansējuma nodrošināšanu. Vienlaikus lūdzam, ievērojot par ziņojumu sniegtos komentārus, izvērtēt un precizēt, kurām izmaksu pozīcijām finansējums pieprasāms no budžeta resora "74. Gadskārtējā valsts budžeta izpildes procesā pārdalāmais finansējums" budžeta programmā 21.00.00 "Finansējums vēlēšanu nodrošināšanai" paredzēta finansējuma un kurām pieprasāms papildus valsts budžeta likumprojekta sagatavošanas procesā prioritāro pasākumu pieteikumu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protkollēmuma projekta 7.punktu, jo tas dublē Ministru kabineta 13.06.2023. sēdes protokollēmumu Nr.32 63.§ 9.punktā noteikto, turklāt tas ir nepilnīgs, ievērojot, ka saskaņā ar Ministru kabineta 13.06.2023. sēdes protokollēmumu Nr.32 63.§ 9.punktu un ziņojumā “Par 2024. gada Eiropas Parlamenta vēlēšanu nodrošināšanu un par turpmāko atbalstu vēlēšanu organizēšanā” sniegto informāciju budžeta resora "74. Gadskārtējā valsts budžeta izpildes procesā pārdalāmais finansējums" budžeta programmā 21.00.00 "Finansējums vēlēšanu nodrošināšanai" rezervēts finansējums atlīdzībai 2024.gada 6 mēnešiem arī Iekšlietu ministrijai (Pilsonības un migrācijas lietu pārvaldei). Vienlaikus vēršam uzmanību, ka lēmumi par bāzes izdevumu precizēšanu ir nosakāmi brīdī, kad tiks virzīts attiecīgais Ministru kabineta rīkojuma projekts, kas tiks sagatavots, ievērojot likuma “Par valsts budžetu 2024. gadam un budžeta ietvaru 2024., 2025. un 2026. gadam” 73.pantā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10.punktu, punkta ievadu izsakot šādā redakcijā “Jautājumu par papildu nepieciešamo finansējumu 2025. un 2026.gadam skenēšanas iekārtu nomaiņai...”, ievērojot ziņojuma 4.sadaļas 1.tabulā norādīto, ka skenēšanas iekārtu maiņa plānota 2025. un 2026.gadā.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sēdes protokollēmuma projekta 11.punktā paredzēto par Publisko iepirkumu likuma (turpmāk - PIL) 3.panta astotās daļas izņēmuma attiecināšanu, vēršam uzmanību uz minētā PIL izņēmuma tvērumu un piemērošanas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saskaņā ar PIL 3.panta astoto daļu šo likumu nepiemēro,</w:t>
            </w:r>
            <w:r w:rsidR="00000000" w:rsidRPr="00000000" w:rsidDel="00000000">
              <w:rPr>
                <w:i w:val="1"/>
                <w:rtl w:val="0"/>
              </w:rPr>
              <w:t xml:space="preserve"> ja tā piemērošana varētu radīt kaitējumu būtisku valsts drošības interešu aizsardzībai. Par būtisku valsts drošības interešu aizsardzību katrā konkrētajā gadījumā lemj Ministru kabinets. Šā izņēmuma piemērošanas pamats nav ne steidzamība, nedz arī aizsargājama informācija pati par sevi, ja tās aizsardzību var nodrošināt iepirkuma procedūrās saskaņā ar šo likumu vai aizsardzības un drošības jomas iepirkumus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normu ir transponēts Eiropas Parlamenta un Padomes 2014.gada 26.februāra direktīvas 2014/24/ES par publisko iepirkumu un ar ko atceļ direktīvu 2004/18/EK (turpmāk – Direktīva) 15.panta 2.punktā paredzētais gadījums, kad līgumu noslēgšanai var nepiemērot publiskā iepirkuma noteikumus, ja tas nepieciešams būtisko drošību interešu aizsardzībai. Direktīvas 15.panta 2.punkta mērķis ir paredzēt noteikumus gadījumiem, kuros ir iespējams atturēties no iepirkuma procedūras pasākumu piemērošanas, pamatojoties uz valsts drošības vai valsts noslēpuma jautājumiem. Saskaņā ar Eiropas Savienības Tiesas judikatūru Direktīvas 15.panta 2.punkts ir interpretējams šauri un piemērojams retos gadījumos, un pasūtītājam ir jāizvērtē, vai mērķi – nodrošināt konkrēto būtisko valsts drošības interešu aizsardzību – nav iespējams sasniegt ar citiem, mazāk ierobežojošiem līdzekļiem. Eiropas Savienības Tiesa ir norādījusi, ka būtisku valsts drošības interešu aizsardzība automātiski nevar kalpot par iemeslu direktīvas nepiemērošanai, bet katrs atsevišķs gadījums ir rūpīgi izvērtējams (skat. Eiropas Savienības tiesas spriedumus lietās C-20/01 un C-28/01 Commission v Germany [2003] ECR I-3609; C-187/16 Eiropas Komisija pret Austrijas Republiku [2018]; C-601/21 Eiropas Komisija pret Polijas Republiku [2023]).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valsts drošību var atsaukties tikai tad, ja pastāv reāls un pietiekami nopietns sabiedrības pamatinterešu apdraudējums (skat. Eiropas Savienības tiesas spriedums lietā C-54/99 Église de scientologie de Paris un Scientology International Reserves Trust v Premier ministre [2000]). Turklāt šo pamatojumu nedrīkst izmantot nepamatoti tādā veidā, lai tas faktiski kalpotu tīri saimnieciskiem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 arī norādījusi, ka tai dalībvalstij, kura vēlas izmantot šos izņēmumus, ir jāiesniedz pierādījumi par to, ka attiecīgās atkāpes nepārsniedz izņēmumu gadījumu robežas un ka tās ir nepieciešamas, lai aizsargātu valsts būtiskās drošības intereses (skat. Eiropas Savienības tiesas spriedums lietā C-414/97 Komisija v Spānijas Karaliste [1999]). Kā arī nepieciešamība paredzēt konfidencialitātes pienākumu, t.i., aizsargāt ierobežotas pieejamības informāciju, nekādā ziņā neliedz piemērot iepirkuma procedūras iepirkuma līguma slēgšanas tiesību piešķiršanai (skat. Eiropas Savienības tiesas spriedums lietā C-337/05 Commission v Italy [2008] ECR I-02173). Tādējādi dalībvalstij, kura vēlas izmantot šajā tiesību normāsparedzētās atkāpes, ir jāpierāda, ka vajadzību aizsargāt šīs intereses nevarētu apmierināt, izsludinot konkursu atbilstoši tam, kas ir paredzēts Direktīvā (C-187/16 Eiropas Komisija pret Austrijas Republiku [2018]; C-601/21 Eiropas Komisija pret Polijas Republiku [2023]).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informatīvajā ziņojumā nav informācijas par attiecīgā PIL izņēmuma piemērošanas nepieciešamību un pamatojumu konkrētajā gadījumā, lūdzam vai nu svītrot MK sēdes protokollēmuma 11.punktā paredzēto par PIL 3.panta astotās daļas piemērošanu vai papildināt informatīvo ziņojumu ar izvērstu informāciju, kas pēc būtības pamatotu PIL 3.panta astotajā daļā noteiktā izņēmuma attiecināšanu, t.sk. ietverot pamatojumu tam, ka PIL regulējuma piemērošana attiecīgo iepirkumu veikšanai radīs kaitējumu konkrētu valsts būtisku drošības interešu aizsardzībai un ka šo interešu aizsardzību nav iespējams nodrošināt jebkāda veida iepirkuma procedūrās, kas tiktu veiktas saskaņā ar PIL  (īpaši ņemot vērā, ka PIL paredz plašu instrumentu klāstu informācijas aizsardzības u.c. drošības prasību nodrošināšanai iepirkuma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attiecīgā PIL izņēmuma piemērošana ir pieļaujama tikai pamatotos gadījumos atbilstoši iepriekš izvērsti aprakstītajam attiecīgā izņēmuma tvērumam un ES Tiesas judikatūrai. Papildus, īpaši ņemot vērā  MK sēdes protokollēmuma 5. un 6.punktā paredzēto par iespējamo ES finanšu līdzekļu piesaisti, aicinām ņemt vērā, ka konkrētajam pasūtītājam neatkarīgi no MK sēdes prokollēmumā paredzētā var būt dažādās pārbaudēs/auditos u.c. jāsniedz pamatojums un jāpierāda, ka konkrētā gadījumā PIL nepiemērošana ir bijusi pamatota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4.punktā minēto informāciju attiecībā  ANM projekta “Vēlēšanu procesu digitalizācija un automatizācija” paredzēto finansējuma apjomu 3,36 milj. EUR apmērā, kas nav pietiekošs pirmā un otrā posma realizācijai pilnā apjomā, un tam ir nepieciešams papildfinansējums 1.2. milj eur apmērā, ņemot vērā informatīvā ziņojuma 5.lpp.  minēto, ka "</w:t>
            </w:r>
            <w:r w:rsidR="00000000" w:rsidRPr="00000000" w:rsidDel="00000000">
              <w:rPr>
                <w:i w:val="1"/>
                <w:rtl w:val="0"/>
              </w:rPr>
              <w:t xml:space="preserve">ievērojot informācijas pieejamības ierobežojumus, veicot nepieciešamo finanšu līdzekļu novērtējumu netika komunicēts ar informācijas sistēmu izstrādes nozares pārstāvjiem, tāpēc novērtējumu precizitāte ir ierobežota ar iesaistītā personāla ekspertu novērtējumu</w:t>
            </w:r>
            <w:r w:rsidR="00000000" w:rsidRPr="00000000" w:rsidDel="00000000">
              <w:rPr>
                <w:rtl w:val="0"/>
              </w:rPr>
              <w:t xml:space="preserve">", 'VARAM secinājums par teorētiski trūkstošo finasējumu īsti nav pamatojams. Teorētiski var būt abējādi, var gan pietrūkt finansējuma vai palikt pāri, jo novērtējums nav tirgus informācijā balstīts. Līdz ar to aicinām VARAM precizēt šo rindkopi, papildinot to ar informāciju, ka VARAM pirms katra posma apzinās reālās izmaksas atbilstoši tirgus situācijai, piemēram, konsultējoties ar nozares speciālistiem un/vai veicot tirgus cenu apzināšanu/aktualizāciju (vai ja tas nav iespējams dēļ ziņojuma IP statusa sasaucot kopā ekspertu paneli, parakstot konfidencialitātes apliecinājumu par informācijas neizpaušanu), pārskatīs tās pret sākontēji plānotajām un sniegs savu atzinumu par to, vai tehnoloģiskie risinājumi atbilst mūsdienu prasībām (šodien nevaram pateikt par 2029.gada risinājumiem un izmaksām) un informēs par to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1.tabulu, aicinām VARAM sniegt skaidrojumu, vai E&amp;Y nosakot šādas vēlēšanu IKT arhitektūras 2.-5 posma (nākotnes) izmaksas ir ņēmis vērā sagaidāmos vidējos inflācijas prognozes un sadārdzinājumus?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posmā ir iespējams tikai indikatīvi noteikt plānotās IS izstrādes izmaksas, ņemot vērā salīdzinoši ilgo vienotās digitālās vēlēšanu platformas izstrādes ilgumu 5 gadi (2024.-2029.gads), kā arī zemāk minēto, ka, i</w:t>
            </w:r>
            <w:r w:rsidR="00000000" w:rsidRPr="00000000" w:rsidDel="00000000">
              <w:rPr>
                <w:i w:val="1"/>
                <w:rtl w:val="0"/>
              </w:rPr>
              <w:t xml:space="preserve">evērojot informācijas pieejamības ierobežojumus, veicot nepieciešamo finanšu līdzekļu novērtējumu netika komunicēts ar informācijas sistēmu izstrādes nozares pārstāvjiem, tāpēc novērtējumu precizitāte ir ierobežota ar iesaistītā personāla ekspertu novērtējumu. </w:t>
            </w:r>
            <w:r w:rsidR="00000000" w:rsidRPr="00000000" w:rsidDel="00000000">
              <w:rPr>
                <w:rtl w:val="0"/>
              </w:rPr>
              <w:t xml:space="preserve">Turklāt šeit ir jāņem vērā, ka 5 gadu laikā var radikāli mainīties un attīstīties digitālās tehnoloģijas un to risinājumi, kā arī to nākotnes izmaksas, ts.k. sadārdzinājumi (vērtējot pret situāciju šodien) nav precīzi nosakāmas. Aicinām tabulas virsrakstā norādīt, ka tās ir </w:t>
            </w:r>
            <w:r w:rsidR="00000000" w:rsidRPr="00000000" w:rsidDel="00000000">
              <w:rPr>
                <w:u w:val="single"/>
                <w:rtl w:val="0"/>
              </w:rPr>
              <w:t xml:space="preserve">"Indikatīvās</w:t>
            </w:r>
            <w:r w:rsidR="00000000" w:rsidRPr="00000000" w:rsidDel="00000000">
              <w:rPr>
                <w:rtl w:val="0"/>
              </w:rPr>
              <w:t xml:space="preserve"> investīcijas vēlēšanu platformas pilnveidošanā".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ziņojuma projekta 1.attēlā "shematiskais posmu laika grafiks" iekļauto informāciju, vēršam VARAM uzmanību uz to, ka 1.posma īstenošanā tiek paredzēts riskanti īss laika posms starp informācjas sistēmu izstrādes pabeigšanu (01.01.2025) un tās lietošanas uzsākšanu (20.03.2025) . Aicinām VARAM atkartoti izvērtēt plānoto laika grafiku, vai pirmajai sistēmas testēšanai un kļūdu novēršanai pietiks ar 2.5 mēnešiem, un nepieciešamības gadījumā paredzēt ilgāku laiku sistēmas testēšanai un pielāgošanai. Vēlēšanu procesos kritiski svarīgi ir nodrošināt tādu sistēmas darbību, kas strādā nekļūdīgi, lai pēc tam nebūtu jāveic rezultātu manuālas pārbaudes un rezultāti būtu uzticami.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veicot aprēķinus par papildu nepieciešamām izmaksām, ir ņemta vērā CVK sniegtā informācija attiecībā uz kapacitātes trūkumu IKT projektu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 sadaļu "Papildresursi un to pamatojums" ar informāciju attiecībā uz konkrētajām Atveseļošanas fonda un Kohēzijas programmas 2021.-2027. gadam investīcijām un specifiskā atbalsta mērķiem, kuru ietvaros plāno piesaistīt papildu finansējumu Vēlēšanu platformas izveidei.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5.lpp. minēto, ka "</w:t>
            </w:r>
            <w:r w:rsidR="00000000" w:rsidRPr="00000000" w:rsidDel="00000000">
              <w:rPr>
                <w:i w:val="1"/>
                <w:rtl w:val="0"/>
              </w:rPr>
              <w:t xml:space="preserve">ievērojot informācijas pieejamības ierobežojumus, veicot nepieciešamo finanšu līdzekļu novērtējumu netika komunicēts ar informācijas sistēmu izstrādes nozares pārstāvjiem, tāpēc novērtējumu precizitāte ir ierobežota ar iesaistītā personāla ekspertu novērtējumu</w:t>
            </w:r>
            <w:r w:rsidR="00000000" w:rsidRPr="00000000" w:rsidDel="00000000">
              <w:rPr>
                <w:rtl w:val="0"/>
              </w:rPr>
              <w:t xml:space="preserve">", aicinām papildināt MK protokollēmuma punktu ar uzdevumu VARAM finansējuma pieprasījuma sagatavošanas apzināšanas ietvaros precizēt reālās 1.-2.posma izmaksas atbilstoši tirgus situācijai, piemēram, konsultējoties, ar nozares speciālistiem un/vai veicot tirgus cenu apzināšanu/aktualizāciju (ja tas nav iespējams informācijas IP statusa dēļ, tad sasaucot kopā ekspertu paneli, vienlaicīgi parakstot konfidencialitātes apliecinājumu par informācijas neizpaušanu).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ziņojuma 5.lpp. minētajām indikatīvajām nākamo posmu izmaksām, aicinām precizēt protokollēmuma 6.punktu, uzdodot par pienākumu VARAM kopā ar MK rīkojuma projektu par 3.-5.posma realizāciju un to līdzfinansēšanu no ERAF sniegt atzinumu par to, vai tehnoloģiskie risinājumi joprojām atbilst mūsdienu prasībām (šodien nevaram pateikt par 2029.gada risinājumiem un izmaksām), kā arī tā ietvaros nepieciešamības gadījumā precizēt katra posma izmaksas, konsultējoties ar nozares speciālistiem un/vai veicot tirgus cenu apzināšanu/aktualizāciju tādā veidā nodrošinot MK ar pilnīgu informāciju par plānotajām visu posmu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ERAF atšifrējas kā Eiropas Reģionālās attīstības fonds.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23-TA-3158</w:t>
    </w:r>
    <w:r>
      <w:br/>
    </w:r>
    <w:r w:rsidR="00000000" w:rsidRPr="00000000" w:rsidDel="00000000">
      <w:rPr>
        <w:rtl w:val="0"/>
      </w:rPr>
      <w:t xml:space="preserve">Izdrukāts 13.12.2023.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23-TA-3158</w:t>
    </w:r>
    <w:r>
      <w:br/>
    </w:r>
    <w:r w:rsidR="00000000" w:rsidRPr="00000000" w:rsidDel="00000000">
      <w:rPr>
        <w:rtl w:val="0"/>
      </w:rPr>
      <w:t xml:space="preserve">Izdrukāts 13.12.2023.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Atzinumi_23-TA-3158.docx</dc:title>
</cp:coreProperties>
</file>

<file path=docProps/custom.xml><?xml version="1.0" encoding="utf-8"?>
<Properties xmlns="http://schemas.openxmlformats.org/officeDocument/2006/custom-properties" xmlns:vt="http://schemas.openxmlformats.org/officeDocument/2006/docPropsVTypes"/>
</file>