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pārvaldē nodarbināto godprātības veicināšanas un interešu konflikta novēršanas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(Delna) pozītīvi vērtē to, ka jaunā likuma mērķis ir paplašināts, attiecinot to ne tikai uz amatpersonām, bet uz visiem valsts pārvaldē nodarbinātajiem, kā arī ir iekļauts pienākums ne retāk kā reizi trijos gados veikt iekšējās kontroles sistēmas auditu, tostarp izvērtēt iestādes korupcijas un interešu konfliktu risku novērtējuma atbilstību un efektivitāti. Tai pat laikā norādām uz vairākiem izaicinājumiem. Likuma ieviešana lielākoties ir atkarīga no iestādes vadītāja izpratnes par godprātību un interešu konfliktu, spējas ieviest efektīvas iekšējās kontroles sistēmas. Lai gan iestādes vadītājam neapšaubāmi jāuzņemas atbildība par viņa vadītās iestādes darbību, pārmērīga atbildības koncentrēšana vienas personas rokās rada riskus – ja iestādes vadītājs nav godprātīgs vai arī viņam nav pietiekamas zināšanas par iekšējās kontroles sistēmu, vai vēlmes to ieviest, tas var negatīvi ietekmēt arī godprātības vidi iestādē un attieksmi pret uzraudzības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Delna aicina papildināt likuma 5. pantu um iekļaut tajā kontrolējošo iestāžu pienākumus, piemēram, sniegt atbalstu un konsultācijas iestādēm, kuras ievieš iekšējās kontroles sistēmas. Kā arī anotācijā lūgums skaidrot, kā kontrolējošā iestādē reaģēs, ja publiskajā telpā parādīsies regulāri informācija par iestādes darbinieku godprātības trūkumu un darbību interešu konflikta situācijā (vai tādā gadījumā iekšējās kontroles sistēmas novērtējums nebūtu jāveic ātrāk nekā reizi trīs gados).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Agnija Birule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