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Publiskas personas mantas atsavināšanas likuma 43.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panta pirmo daļu atļaut Ekonomikas ministrijai (Patērētāju tiesību aizsardzības centram) nodot Ukrainas valdības institūcijai - Čerņihivas apgabala padomes Izglītības iestāžu materiāltehniskā un informācijas nodrošinājuma centram ( CENTER FOR MATERIAL, TECHNICAL AND INFORMATION SUPPORT OF EDUCATIONAL INSTITUTIONS OF THE CHERNIGIV REGIONAL COUNCIL EDRPOU: 34018398 ЄР3924; "ЦЕНТР МАТЕРІАЛЬНО-ТЕХНІЧНОГО ТА ІНФОРМАЦІЙНОГО ЗАБЕЗПЕЧЕННЯ ОСВІТНІХ ЗАКЛАДІВ" ЧЕРНІГІВСЬКОЇ ОБЛАСНОЇ РАДИ, Чернігівська, Чернігів (Деснянський р-н), 14013, ВУЛИЦЯ ШЕВЧЕНКА, будинок, 34,  EDRPOU: 34018398, ЄР3924 ) bez atlīdzības šādu valsts kustamo mantu: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ņemt vērā esošo praksi šādu Ministru kabineta rīkojumu sagatavošanā, t.sk.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nav nepieciešams norādīt visu tekstu, kas ir iekļauts iekavās -  CENTER FOR MATERIAL, TECHNICAL AND INFORMATION SUPPORT OF EDUCATIONAL INSTITUTIONS OF THE CHERNIGIV REGIONAL COUNCIL EDRPOU: 34018398 ЄР3924; "ЦЕНТР МАТЕРІАЛЬНО-ТЕХНІЧНОГО ТА ІНФОРМАЦІЙНОГО ЗАБЕЗПЕЧЕННЯ ОСВІТНІХ ЗАКЛАДІВ" ЧЕРНІГІВСЬКОЇ ОБЛАСНОЇ РАДИ, Чернігівська, Чернігів (Деснянський р-н), 14013, ВУЛИЦЯ ШЕВЧЕНКА, будинок, 34,  EDRPOU: 34018398, ЄР3924;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korekti precizēt 1.punkta apakšpunktu pierakstu - atsevišķos apakšpunktos uzskaitīt nododamo kustamo mantu (šādā gadījumā nav nepeiciešams atsevišķi veidot Ministru kabineta rīkojuma projektam pielikumu), skatīt - https://likumi.lv/ta/id/362426-par-valsts-kustamas-mantas-nodosanu-bez-atlidzibas-ukrainai) - vai arī attiecībā uz nododamo kustamo mantu 1.punktā veidot atsauci uz Ministru kabineta rīkojuma projketa pielikumu, atiecīgi izslēdzot apakšpunktus, skatīt - https://likumi.lv/ta/id/347226-par-valsts-kustamas-mantas-nodosanu-bez-atlidzibas-ukrainai;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saskaņā ar Ministru kabineta 2018.gada 13.februāra noteikumu Nr.87 “Grāmatvedības uzskaites kārtība budžeta iestādēs” 13.punktu </w:t>
            </w:r>
            <w:r w:rsidR="00000000" w:rsidRPr="00000000" w:rsidDel="00000000">
              <w:rPr>
                <w:u w:val="single"/>
                <w:rtl w:val="0"/>
              </w:rPr>
              <w:t xml:space="preserve">budžeta iestādes uzskaita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visus </w:t>
            </w:r>
            <w:r w:rsidR="00000000" w:rsidRPr="00000000" w:rsidDel="00000000">
              <w:rPr>
                <w:u w:val="single"/>
                <w:rtl w:val="0"/>
              </w:rPr>
              <w:t xml:space="preserve">to īpašumā, valdījumā un turējumā esošos un piekrītošos ilgtermiņa ieguldījumus, apgrozāmos līdzekļus un saistības </w:t>
            </w:r>
            <w:r w:rsidR="00000000" w:rsidRPr="00000000" w:rsidDel="00000000">
              <w:rPr>
                <w:rtl w:val="0"/>
              </w:rPr>
              <w:t xml:space="preserve">saskaņā ar attaisnojuma dokumentiem un darījuma ekonomisko būtību. Ņemot vērā minēto, lūdzam precizēt 1.2.apakšpunktā norādīto "</w:t>
            </w:r>
            <w:r w:rsidR="00000000" w:rsidRPr="00000000" w:rsidDel="00000000">
              <w:rPr>
                <w:i w:val="1"/>
                <w:rtl w:val="0"/>
              </w:rPr>
              <w:t xml:space="preserve">Minētajām mantām bilances vērtība nav noteikta, tās iestādē tiek uzskaitītas tikai skaitliskā izteiksmē. Provizoriskā tirgus vērtība šai mantai kopā: 3 534,90 euro saskaņā ar šā rīkojuma pielikumu"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Attiecīgi lūdzam precizēt arī informāciju Ministru kabineta rīkojuma projekta anotācijā.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1.3.sadaļas "Problēmas apraksts" sniegto informāciju "Ukrainas valdības īpašumā paredzēts nodot rīkojuma pielikumā norādīto valsts kustamo mantu - transportlīdzekli, [..]", ņemot vērā, ka ar Ministru kabineta rīkojumu paredzēts nodot arī citu kustamo mantu.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25-TA-1718</w:t>
    </w:r>
    <w:r>
      <w:br/>
    </w:r>
    <w:r w:rsidR="00000000" w:rsidRPr="00000000" w:rsidDel="00000000">
      <w:rPr>
        <w:rtl w:val="0"/>
      </w:rPr>
      <w:t xml:space="preserve">Izdrukāts 03.12.2025.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25-TA-1718</w:t>
    </w:r>
    <w:r>
      <w:br/>
    </w:r>
    <w:r w:rsidR="00000000" w:rsidRPr="00000000" w:rsidDel="00000000">
      <w:rPr>
        <w:rtl w:val="0"/>
      </w:rPr>
      <w:t xml:space="preserve">Izdrukāts 03.12.2025.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