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Datu pārvaldības stratēģiju 2026. - 2030.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neņemto vērā iebildumu par papildus administratīvo un birokrātisko slogu, izdalot datu pārvaldnieka funkciju kā ārpakalpojumu vai iekšējo kompetenci, kā atsevišķu funkcionālo vienību, jo tas prasīs papildus cilvēku un finanšu resursus, kuru jau šobrīd kritiski pietrūkst.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07.10.2026.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07.10.2026.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Atzinumi_26-TA-347.docx</dc:title>
</cp:coreProperties>
</file>

<file path=docProps/custom.xml><?xml version="1.0" encoding="utf-8"?>
<Properties xmlns="http://schemas.openxmlformats.org/officeDocument/2006/custom-properties" xmlns:vt="http://schemas.openxmlformats.org/officeDocument/2006/docPropsVTypes"/>
</file>