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1.3. sadaļā rindkopu, kurā skaidrots noteikumu 9.punkta saturs, ar paplašinātu skaidrojumu noteikumu 9.punkta potenciālajiem piemērotājiem, lai atvieglotu un veicinātu dotās tiesību normas vienveidīgu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punktu dzelzceļa pārvaldītājam jāpiemēro kopsakarā ar Dzelzceļa likuma 17.pantu, Enerģētikas likuma 19.pantu un citām speciālo tiesību normām, kas regulē energoapgādes komersantu, elektronisko sakaru tīklu un centralizētās ūdensapgādes vai kanalizācijas sistēmu darbību. Ja tas netraucē dzelzceļa infrastruktūras attīstībai, tā drošai ekspluatācijai, satiksmes drošībai vai pārvaldītāja darbības nodrošināšanai, dzelzceļa pārvaldītājs lēmumu par līguma slēgšanu par zemes lietošanas tiesību aprobežošanu pieņem atbilstoši Enerģētikas likuma 19.pantā un citās attiecīgās nozares speciālajās normās dotajai rīcības brīvībai, t.i., noteiktās situācijās dzelzceļa pārvaldītājs varēs pieņemt gan pozitīvu, gan negatīvu lēmumu, bet atsevišķos gadījumos dzelzceļa pārvaldītājam būs faktiski pienākums noslēgt attiecīgu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27.11.2024.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27.11.2024.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