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2.1.3. specifiskā atbalsta mērķa "Veicināt pielāgošanos klimata pārmaiņām, risku novēršanu un noturību pret katastrofām"  2.1.3.3. pasākuma "Katastrofu risku mazināšanas pasākumi"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Izmaksas ir attiecināmas no 2024.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18., 19. un 26. punkts saturiski attiecas uz attiecināmo izmaksu regulējumu, taču šobrīd ir iekļauti nodaļā “IV. 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normatīvā akta loģisku struktūru un skaidrību, lūdzam minētos punktus pārvietot uz nodaļu “III.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23.05.2025.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23.05.2025.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Atzinumi_25-TA-305.docx</dc:title>
</cp:coreProperties>
</file>

<file path=docProps/custom.xml><?xml version="1.0" encoding="utf-8"?>
<Properties xmlns="http://schemas.openxmlformats.org/officeDocument/2006/custom-properties" xmlns:vt="http://schemas.openxmlformats.org/officeDocument/2006/docPropsVTypes"/>
</file>