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patruļkuģa "P-01 Zibens"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2. panta ceturto daļu, 4. panta pirmo un otro daļu, 5. panta pirmo un otro daļu, 8. panta pirmo daļu un 9. panta pirmo daļu atļaut valsts akciju sabiedrībai "Valsts nekustamie īpašumi" pārdot izsolē Nacionālo bruņoto spēku Mācību vadības pavēlniecības bilancē esošo patruļkuģi "P-01 Zibens" (bilances vērtība - 0,00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2.panta ceturtā daļa nosaka, ka kuģu atsavināšanai, </w:t>
            </w:r>
            <w:r w:rsidR="00000000" w:rsidRPr="00000000" w:rsidDel="00000000">
              <w:rPr>
                <w:u w:val="single"/>
                <w:rtl w:val="0"/>
              </w:rPr>
              <w:t xml:space="preserve">izņemot karakuģu atsavināšanu, </w:t>
            </w:r>
            <w:r w:rsidR="00000000" w:rsidRPr="00000000" w:rsidDel="00000000">
              <w:rPr>
                <w:rtl w:val="0"/>
              </w:rPr>
              <w:t xml:space="preserve">piemērojami šā likuma nosacījumi par nekustamā īpašuma atsavināšanu. Lēmumu par karakuģu atsavināšanu pieņem Ministru kabinets. Ievērojot minēto, lūdzam skaidrot, vai atsavināmais kuģis nav karakuģis.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pēc kuģa atsavināšanas iegūtie līdzekļi tiks ieskaitīti valsts budžetā. Vēršam uzmanību, ka Publiskas personas mantas atsavināšanas likuma 47.pants nosaka, ka Publiskas personas mantas atsavināšanā iegūtos līdzekļus </w:t>
            </w:r>
            <w:r w:rsidR="00000000" w:rsidRPr="00000000" w:rsidDel="00000000">
              <w:rPr>
                <w:u w:val="single"/>
                <w:rtl w:val="0"/>
              </w:rPr>
              <w:t xml:space="preserve">pēc atsavināšanas izdevumu segšanas i</w:t>
            </w:r>
            <w:r w:rsidR="00000000" w:rsidRPr="00000000" w:rsidDel="00000000">
              <w:rPr>
                <w:rtl w:val="0"/>
              </w:rPr>
              <w:t xml:space="preserve">eskaita attiecīgās publiskās personas budžetā. Atsavināšanas izdevumu apmēru nosaka Ministru kabineta paredzētajā kārtībā. Ievērojot minēto, lūdzam attiecīgi precizēt minēto atbilstoši spēkā esošajiem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minētā norma saskaņā ar 12.10.2023. pieņemto likumu "Grozījumi Publiskas personas mantas atsavināšanas likumā", tiek grozīta un grozījums 47.pantā stāsies spēkā 01.01.2025.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kuģa izsolē papildus iekļaujamais nosacījums - nākamajam īpašniekam jāveic atsavināmā kuģa transportēšana, attīrīšana un atsārņošana drošā un videi nekaitīgā veidā atbilstoši vides aizsardzību regulējošajiem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sniegtajai informācijai, saistībā ar kuģa izcelšanu no ūdens identificētas lielas izmaksas. Lūdzam skaidrot, nepieciešamības gadījumā papildinot izsolē iekļaujamos nosacījumus - kā pienākums būs izcelt kuģi no ūdens.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ar kuģa reģistrācijas dokumentiem, tehniskajiem datiem, kas nepieciešami kuģa tirgus vērtības noteikšanai, kā arī lūdzam skaidrot, vai kuģim ir nodrošināta piekļuve, lai nekustamā īpašuma tirgus vērtētājs varētu veikt tā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23-TA-2538</w:t>
    </w:r>
    <w:r>
      <w:br/>
    </w:r>
    <w:r w:rsidR="00000000" w:rsidRPr="00000000" w:rsidDel="00000000">
      <w:rPr>
        <w:rtl w:val="0"/>
      </w:rPr>
      <w:t xml:space="preserve">Izdrukāts 06.11.2023. 18.27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23-TA-2538</w:t>
    </w:r>
    <w:r>
      <w:br/>
    </w:r>
    <w:r w:rsidR="00000000" w:rsidRPr="00000000" w:rsidDel="00000000">
      <w:rPr>
        <w:rtl w:val="0"/>
      </w:rPr>
      <w:t xml:space="preserve">Izdrukāts 06.11.2023. 18.27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Atzinumi_23-TA-2538.docx</dc:title>
</cp:coreProperties>
</file>

<file path=docProps/custom.xml><?xml version="1.0" encoding="utf-8"?>
<Properties xmlns="http://schemas.openxmlformats.org/officeDocument/2006/custom-properties" xmlns:vt="http://schemas.openxmlformats.org/officeDocument/2006/docPropsVTypes"/>
</file>