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23-TA-571: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iestāžu nodarīto zaudējumu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pārvaldes iestāžu nodarīto zaudējumu atlīdzināšanas likums paredz dažādus zaudējumu atlīdzināšanas avotus, kas ir atkarīgs no tā, pret ko ir vērsts tiesas spriedums, līdz ar to ir svītrojams anotācijas 3.sadaļas punktā “Cita informācija” iekļautās rindkopas pēdējais teikums, tā vietā norādot, ka zaudējumi tiks atlīdzināti Valsts pārvaldes iestāžu nodarīto zaudējumu atlīdzināšanas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08.05.2024.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08.05.2024.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Atzinumi_23-TA-571.docx</dc:title>
</cp:coreProperties>
</file>

<file path=docProps/custom.xml><?xml version="1.0" encoding="utf-8"?>
<Properties xmlns="http://schemas.openxmlformats.org/officeDocument/2006/custom-properties" xmlns:vt="http://schemas.openxmlformats.org/officeDocument/2006/docPropsVTypes"/>
</file>