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Administratīvo teritoriju un apdzīvoto vietu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apakšpunktā nav sniegta informācija, vai Centrālā vēlēšanu komisija ir piedalījusies likumprojekta izstrādē. Ņemot vērā, ka likumprojektā paredzētais regulējums skar Centrālās vēlēšanu komisijas kompetenci, lūdzam aizpildīt anotāciju, kā arī saskaņot likumprojektu ar minēto institūciju atbilstoši Ministru kabineta 2021. gada 7. septembra noteikumu Nr. 606 "Ministru kabineta kārtības rullis" 52.2.10.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informācijā kā likumprojekts ietekmēs Valsts zemes dienestu. Tāpat lūdzam precizēt anotācijas 7.1. apakšpunktu, jo likumprojekts ir attiecināms arī uz pašvaldībām un Centrālo vēlēšanu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Likumprojekts paredz virkni veicamo darbību, kā arī var radīt atbilstības izmaksas (finanšu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Atzinumi_22-TA-3223.docx</dc:title>
</cp:coreProperties>
</file>

<file path=docProps/custom.xml><?xml version="1.0" encoding="utf-8"?>
<Properties xmlns="http://schemas.openxmlformats.org/officeDocument/2006/custom-properties" xmlns:vt="http://schemas.openxmlformats.org/officeDocument/2006/docPropsVTypes"/>
</file>