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Automātiskās informācijas apmaiņas par pārdevējiem, kuri gūst ienākumus, izmantojot digitālās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digitālās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ka </w:t>
            </w:r>
            <w:r w:rsidR="00000000" w:rsidRPr="00000000" w:rsidDel="00000000">
              <w:rPr>
                <w:i w:val="1"/>
                <w:rtl w:val="0"/>
              </w:rPr>
              <w:t xml:space="preserve">Padomes 2021. gada 22. marta direktīvas (ES) 2021/514, ar ko groza Direktīvu 2011/16/ES par administratīvu sadarbību nodokļu jomā</w:t>
            </w:r>
            <w:r w:rsidR="00000000" w:rsidRPr="00000000" w:rsidDel="00000000">
              <w:rPr>
                <w:rtl w:val="0"/>
              </w:rPr>
              <w:t xml:space="preserve"> (turpmāk - direktīva Nr. 2021/514) regulējums ir par starptautisko informācijas apmaiņu, un minētajā informācijas apmaiņā piedalīsies ne tikai Latvija, kā arī ka direktīvā definēti un izmantoti termini, kas līdz šim nav bijuši nedz definēti, nedz lietoti Latvijas normatīvajos aktos. Tomēr atkārtoti paužam bažas, ka transponēšanas metodes nekritiska izmantošana, vienkārši pārrakstot minētās direktīvas normas noteikumu projektā, varētu apdraudēt šīs direktīvas mērķa sasniegšanu. Pārformulēšanas metode varētu būt efektīvāka un nodrošinātu direktīvas mērķa sasniegšanu, vienlaikus noteikumu projekta regulējumam atbilstot arī Latvijas tiesību sistēmai, tās juridiskajai valodai un tehnikai. Atkārtoti vēršam uzmanību, ka noteikumu projekts šobrīd ir kopumā grūti uztverams un neskaidrs, kā arī no noteikumu projekta, šķiet, neizriet pilnīgs regulējums, lai efektīvi sasniegtu direktīvas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noteikumu projekta neizriet tiesiskais regulējums, kā arī no noteikumu projekta anotācijā minētā nav skaidrs, kā operators var pierādīt Valsts ieņēmumu dienestam noteikumu projekta 2.3. apakšpunktā minēto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neizriet, kas ir "pienācīgas garantijas" noteikumu projekta 49. punkta izpratnē un kas tieši ziņojošajam platformas operatoram ir jāiesniedz, lai Valsts ieņēmumu dienests varētu reģistrēt viņu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iepriekš minēto norādām, ka nav arī pārliecības, ka direktīvas normās dotā rīcības brīvība dalībvalstij veikt kādus pasākumus ir visos gadījumos efektīvi izmantota un ka noteikumu projekta regulējums ir pilnīgs, lai sasniegtu direktīvas mērķi. Piemēram, direktīvas Nr. 2021/514 pielikumā izteiktajā direktīvas Nr. 2011/16/ES V pielikuma IV iedaļas F. punkta 6. apakšpunkta 2. punkts paredz, ka, ja "</w:t>
            </w:r>
            <w:r w:rsidR="00000000" w:rsidRPr="00000000" w:rsidDel="00000000">
              <w:rPr>
                <w:i w:val="1"/>
                <w:rtl w:val="0"/>
              </w:rPr>
              <w:t xml:space="preserve">ziņojošais platformas operators nepilda pienākumu reģistrēties vai ja tā reģistrācija ir anulēta [..], dalībvalstis, neskarot 25.a pantu, veic efektīvus, samērīgus un atturošus pasākumus, lai panāktu atbilstību savā jurisdikcijā [..]</w:t>
            </w:r>
            <w:r w:rsidR="00000000" w:rsidRPr="00000000" w:rsidDel="00000000">
              <w:rPr>
                <w:rtl w:val="0"/>
              </w:rPr>
              <w:t xml:space="preserve">", taču no noteikumu projekta neizriet attiecīgs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un nodrošināt skaidru un pietiekamu tiesisko regulējumu, kas reizē efektīvi sasniedz minētās direktīvas mērķi un atbilst Latvijas tiesību sistēmā lietotajai valodai, stilistikai, juridiskajai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 sadaļas 1. tabulā ietvertajā skaidrojumā par Komisijas 2022. gada 5. septembra īstenošanas regulu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ietvert konkrētu projekta vienību, kurā ietverta atsauce uz minēto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skaidrojumu par Direktīvas Nr. 2021/514 1. panta 9. punkta "b" apakšpunktu, ņemot vērā, ka norma ir nevis adresēta Komisijai, bet gan svītro Direktīvas Nr. 2011/16/ES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par noteikumu projekta 53. punktu (anotācijas 1.3. sadaļas rindkopa "Noteikumu projekta piemērošanas uzsākšana") ietverti pretrunīgi argumenti. Proti, dažviet ietvertas norādes, ka noteikumu projekta normām nav atpakaļejošs spēks, taču reizē ir minēts, ka normas aizskar privātpersonu tiesisko paļāvību, kas nav korekts apgalvojums atpakaļejoša spēka neesamības gadījumā (piemēram: "</w:t>
            </w:r>
            <w:r w:rsidR="00000000" w:rsidRPr="00000000" w:rsidDel="00000000">
              <w:rPr>
                <w:i w:val="1"/>
                <w:rtl w:val="0"/>
              </w:rPr>
              <w:t xml:space="preserve">Ievērojot minēto, noteikumu projekta mērķa sasniegšana ir svarīgāka, nekā nodokļu maksātāju tiesības paļauties, ka nenotiks informācijas apmaiņa par pārskata perioda daļu pirms regulējuma, kas izriet no Noteikumu projekta, spēkā stāšanās.</w:t>
            </w:r>
            <w:r w:rsidR="00000000" w:rsidRPr="00000000" w:rsidDel="00000000">
              <w:rPr>
                <w:rtl w:val="0"/>
              </w:rPr>
              <w:t xml:space="preserve">"). Attiecīgi lūdzam precizēt skaidrojumu. Atkārtoti vēršam uzmanību, ka Latvijas tiesību sistēmā nav piemērojamas tiesību normas ar atpakaļejošu spēku. Proti, Oficiālo publikāciju un tiesiskās informācijas likuma 9. panta ceturtā daļa noteic, ka normatīvajiem aktiem nav atpakaļejoša spēka, izņemot </w:t>
            </w:r>
            <w:r w:rsidR="00000000" w:rsidRPr="00000000" w:rsidDel="00000000">
              <w:rPr>
                <w:u w:val="single"/>
                <w:rtl w:val="0"/>
              </w:rPr>
              <w:t xml:space="preserve">likumā </w:t>
            </w:r>
            <w:r w:rsidR="00000000" w:rsidRPr="00000000" w:rsidDel="00000000">
              <w:rPr>
                <w:rtl w:val="0"/>
              </w:rPr>
              <w:t xml:space="preserve">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noteikumu projekta 53. punktu, izsakot to šādā redakcijā: "Pirmā informācijas apmaiņa saskaņā ar šiem noteikumiem tiek veikta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20.01.2023.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20.01.2023.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