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atkārtoti izskatījusi Izglītības un zinātnes ministrijas (turpmāk – IZM) informatīvo ziņojumu un atkārtoti iebilst pret tajā paredzēto risinājumu, kas paredz papildu slogu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atzīst, ka valsts valodas apguves pieejamības un kvalitātes uzlabošana pieaugušajiem ir būtiska un ilgtermiņā svarīga valsts drošības, sabiedrības integrācijas un darba tirgus attīstības interesēs. Tomēr šī mērķa īstenošanai jābūt fiskāli atbildīgai, nodrošinot, ka visi plānotie pasākumi tiek veikti esošo valsts budžeta līdzekļu ietvaros, neparedzot papildu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13. maija sēdes protokola (Nr. 19 50. §) 7. punktu valdība ir noteikusi uzdevumu samazināt publiskā sektora tēriņus vismaz 450 milj. EUR apmērā 2026.–2028. gadā, tostarp 2026. gadā – ne mazāk kā 150 milj. EUR. Līdz ar to jebkādi jauni pastāvīgi izdevumi, kas pārsniedz esošo budžeta ietvaru, ir pretrunā valdības fiskālās disciplīnas un taupības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4.3. nodaļā joprojām paredzēts papildu finansējums 930 301 EUR 2026. gadā un turpmāk aptuveni 0,45 milj. EUR gadā līdz 2029. gadam. Lai gan IZM norāda, ka tiks izmantota esošā platforma STARS, par esoša risinājuma izmantošanu varētu runāt tikai tad, ja tās uzturēšana un attīstība tiktu nodrošināta esošā finansējuma ietvaros. Ja nepieciešama paplašināšana tādā apmērā, kā norādīts ziņojumā, tas faktiski nozīmē jaunu valsts budžeta saistību uzņemšanos.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valsts valodas apguves sistēmas pilnveide ir atbalstāma tikai tad, ja tā tiek īstenota esošo budžeta līdzekļu ietvaros, izmantojot jau pieejamos IT risinājumus un reorganizējot, efektivizējot esošos procesus, nevis radot jaunas pastāvīgas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Ziņojumu, iekļaujot skaidru norādi,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paredzēto pasākumu īstenošana 2025. gadā un turpmākajos gados tiek nodrošināta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fiskālās disciplīnas ievērošanu, novērstu jaunu finanšu slogu un ļautu efektīvi īstenot valsts valodas politikas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20.51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09.10.2025. 20.51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