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pasākumi nozaru vajadzībās balstītai pieaugušo izglītībai un to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darba devējam saskaņā ar Valsts ieņēmumu dienesta administrēto nodokļu (nodevu) parādnieku datubāzē pieejamo informāciju nav nodokļu vai nodevu parāda, tai skaitā valsts sociālās apdrošināšanas obligāto iemaksu parāda, kas kopsummā pārsniedz 150 euro,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projekta iesnieguma iesniegšanas dienā, precizētā projekta iesnieguma iesniegšanas dienā vai lēmuma pieņemšanas dienā par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7.2. apakšpunkts dublē noteikumu projekta 23.5. apakšpunktā un 66. punktā ietverto regulējumu. Ņemot vērā minēto, lūdzam izvērtēt, vai noteikumu projekta 7.2. apakšpunkts ir izteikts atbilstoši Ministru kabineta 2009. gada 3. februāra noteikumu Nr. 108 "Normatīvo aktu projektu sagatavošanas noteikumi" (turpmāk – noteikumi Nr. 108) 3.2. un 3.3. apakšpunktam un neatbilstības gadījumā izdarīt attiecīgus precizējumus noteikumu projektā (piemēram, svītrot 23.5. apakšpunktu un 66.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iesniedzējs nevar pretendēt uz finansējuma saņemšanu,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saskaņā ar noteikumu Nr. 108 3.2. apakšpunktu normatīvā akta projektā neietver normas, kas dublē augstāka vai tāda paša spēka normatīvā akta tiesību normās ietverto normatīvo regulējumu. Attiecīgi lūdzam svītrot noteikumu projekta 22. punktu, jo minētās normas nosaka gadījumus, kad projekta iesnieguma iesniedzējs nevar pretendēt uz finansējuma saņemšanu, savukārt Eiropas Savienības fondu 2021. - 2027. gada plānošanas perioda vadības likuma 22. un 26. pantā jau ir noteikti projekta iesniedzēja izslēgšanas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Sadarbības iestādei ir šādi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saskaņā ar noteikumu Nr. 108 3.2. apakšpunktu normatīvā akta projektā neietver normas, kas dublē augstāka vai tāda paša spēka normatīvā akta tiesību normās ietverto normatīvo regulējumu. Attiecīgi lūdzam izvērtēt un svītrot noteikumu projekta 45. punktu, jo minētās normas nosaka pienākumus sadarbības iestādei, savukārt Eiropas Savienības fondu 2021. - 2027. gada plānošanas perioda vadības likuma 12. punktā jau ir noteikti sadarbības iestādes pienākumi un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Darbiniekam ir tiesības vērsties pie darba devēja, lai rastu iespēju nodrošināt nepieciešamās mācības darbinieka darba pienākumu veikšanai, profesionālās kvalifikācijas pilnveidei vai pārkvalifikācijai darba laika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Punktam nav juridiskas slodzes un šāda norma ir deklaratīva. Ņemot vērā minēto, atkārtoti lūdzam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Darba devējs, pēc finansējuma saņēmēja projekta iesnieguma apstiprināšanas, informē darbinieku par iespēju apmeklēt mācības un norīko tos dalībai,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Punktam nav juridiskas slodzes un šāda norma ir deklaratīva. Ņemot vērā minēto, atkārtoti lūdzam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23.7. pieredze prasmju pilnveides projektu īstenošanā, un projekta kopējā attiecināmā summa ir vismaz 500 000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iespējams, punktā minētais nosacījums projekta iesniedzējam (t.i.,pieredze prasmju pilnveides projektu īstenošanā, un projekta kopējā attiecināmā summa ir vismaz 500 000 euro) varētu būt projekta iesniedzēju loku nepamatoti ierobežojošs.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atbilstoši precizēt (ja attiecināms), vai ir lietderīgi un pamatoti noteikt pieredzi prasmju pilnveides projektu īstenošanā, kur projekta kopējā attiecināmā summa ir vismaz 500 000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iesniedzējs sagatavo projekta iesniegumu atbilstoši projektu iesniegumu atlases nolikuma prasībām un iesniedz to Kohēzijas politikas fondu vadības informācijas sistēmā (turpmāk – Vadības informācijas sistēma), pievienojot šādus dokumentus un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22. punktu un svītrot tā apakšpunktus, jo projektu iesniegumu atlases nolikumā būs noteikti visi papildu iesniedzamie dokumenti, informācija un pienākums tos iesniegt Kohēzijas politikas fondu vadības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saskaņā ar projekta iesniegumu atlases nolikuma prasībām sagatavo projekta iesniegumu, tai skaitā, pievienojot nolikumā noteiktos papildu dokumentus, un iesniedz to Kohēzijas politikas fondu vadības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1.3.2.32. komunikācijas un vizuālās identitātes pasākumus saskaņā ar regulas 2021/1060 47. un 50. pantu,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 Šajā punktā minētās izmaksas nav pakļautas komercdarbības atbalsta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1.3.2.32. apakšpunktā norādīta atsauce uz nesaistošiem dokumentiem (vadlīnijām). Ņemot vērā minēto, lūdzam visā noteikumu projektā svītrot atsauces uz nesaistošiem dokumentiem (vadlīnijām)un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komunikācijas un vizuālās identitātes pasākumus saskaņā ar regulas 2021/1060 47. un 50. pantu, kārtību, kādā Eiropas Savienības fondu vadībā iesaistītās institūcijas nodrošina šo fondu ieviešanu 2021.–2027. gada plānošanas periodā. Šajā punktā minētās izmaksas nav pakļautas komercdarbības atbalsta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44.23. nodrošināt komunikācijas un vizuālās identitātes prasības saskaņā ar Eiropas Parlamenta un Padomes 2021. gada 24. jūnija Regulas (ES) 2021/1060 47. pantu un 50. pantu un normatīvajiem aktiem, kas nosaka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44.23. apakšpunktā norādīta atsauce uz nesaistošiem dokumentiem (vadlīnijām). Ņemot vērā minēto, lūdzam visā noteikumu projektā svītrot atsauces uz nesaistošiem dokumentiem (vadlīnijām)un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komunikācijas un vizuālās identitātes prasības saskaņā ar Eiropas Parlamenta un Padomes 2021. gada 24. jūnija Regulas (ES) 2021/1060 47. pantu un 50. pantu un normatīvajiem aktiem, kas nosaka kārtību, kādā Eiropas Savienības fondu vadībā iesaistītās institūcijas nodrošina šo fondu ieviešanu 2021.–2027.gada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20.03.2024.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20.03.2024.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Atzinumi_23-TA-958.docx</dc:title>
</cp:coreProperties>
</file>

<file path=docProps/custom.xml><?xml version="1.0" encoding="utf-8"?>
<Properties xmlns="http://schemas.openxmlformats.org/officeDocument/2006/custom-properties" xmlns:vt="http://schemas.openxmlformats.org/officeDocument/2006/docPropsVTypes"/>
</file>