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2.punktā minētajam, izteiktais iebildums ir ņemts vērā un minēts, ka grozījumiem nav ietekmes uz komersantiem un noteikumu projektā paredzētais  neietekmē un nepārkāpj vienlīdzības principu attiecībā uz minēto komersantu atlasi, jo komersanti, kas pieteikušies uz īpašumu nomas vai apsaimniekošanas tiesībām, tiek izvēlēti publiskas izsoles rezultātā un šis princips arī turpmāk netiek mainīts.  Tomēr, izvērtējot aktuālo anotācijas redakciju, vērtējums par grozījumu ietekmi uz komersantu atlases procedūru nav iekļauts anotācijas tekstā. Ievērojot minēto, lūdzam iekļaut izziņas 2.punktā minēto vērtējumu, kā arī informāciju, ka grozījumi neietekmē un nepārkāpj vienlīdzības principu attiecībā uz minēto komersantu atlasi, anotācijas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atbilstoši izziņas 6.punktā minētajam, priekšlikums ir ņemts vērā un anotācija ir papildināta ar informāciju par situāciju visos specifiskā atbalsta mērķa reģionos, tomēr anotācijā nav ietverts skaidrojums, vai izstrādātie grozījumi (attiecībā uz rādītāju kompensēšanu) nav uzskatāmi par būtiskiem (t.i., tādi, kas ietekmē darbības veidu, mērķus vai īstenošanas nosacījumus, tādējādi traucējot tās sākotnējo mērķu sasniegšanu). Lūdzam papildināt noteikumu projekta anotāciju ar minēto skaidrojumu, īpaši attiecībā uz tiem projektiem, kuru starpā tiks veikta rādītāju kompensēšana (proti, vai netiks būtiski ietekmēta to projektu rādītāju un mērķu sasniegšana, no kuriem tiks kompensēts iztrūkums un pārvirzīti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05.08.2026.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05.08.2026.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Atzinumi_26-TA-1350.docx</dc:title>
</cp:coreProperties>
</file>

<file path=docProps/custom.xml><?xml version="1.0" encoding="utf-8"?>
<Properties xmlns="http://schemas.openxmlformats.org/officeDocument/2006/custom-properties" xmlns:vt="http://schemas.openxmlformats.org/officeDocument/2006/docPropsVTypes"/>
</file>