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25-TA-1658: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20. septembra noteikumos Nr. 582 "Eiropas Savienības Atveseļošanas un noturības mehānisma plāna 3.1. reformu un investīciju virzienu "Reģionālā politika" 3.1.2.1.i. investīcijas "Publisko pakalpojumu un nodarbinātības pieejamības veicināšanas pasākumi cilvēkiem ar funkcionāliem traucējumiem" pirmās kārtas "Valsts un pašvaldību ēku vides pieejamības nodrošināšanas pasākumi"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attiecībā uz noteikumu 24.1. apakšpunkta izteikšanu jaunā redakcijā sniegts šāds skaidrojums: "</w:t>
            </w:r>
            <w:r w:rsidR="00000000" w:rsidRPr="00000000" w:rsidDel="00000000">
              <w:rPr>
                <w:i w:val="1"/>
                <w:rtl w:val="0"/>
              </w:rPr>
              <w:t xml:space="preserve">Finanšu ministrija, aktualizējot vadlīnijas Nr. 1.4. "Vadlīnijas Ministru kabineta noteikumu par specifiskā atbalsta mērķa īstenošanu izstrādei Eiropas Savienības fondu 2021.—2027. gada plānošanas periodā", ir pārskatījusi interešu konflikta, korupcijas un krāpšanas novēršanas nosacījumus attiecibā uz ES fondu projektiem. Ņemot vērā minēto, pēc līdzības nepieciešams pārskatīt AF noteiktos nosacījumus un redakcionāli precizēt 24.1. apakšpunktu. Vienlaikus jāmin, ka šobrīd minētajā apakšpunktā ietvertā atsauce uz Eiropas Parlamenta un Padomes 2021. gada 12. februāra Regulas (ES) Nr. 2021/241, ar ko izveido Atveseļošanas un noturības mehānismu (turpmāk – regula Nr. 2021/241), 22. pantu ir pārskatāma, ņemot vērā, ka minētais pants nosaka vispārīgus pienākumus, kurus jāievēro kopumā dalībvalstij, lai nodrošinātu interešu konflikta, korupcijas un krāpšanas novēršanu. (ne tieši finansējuma saņēmējiem)</w:t>
            </w:r>
            <w:r w:rsidR="00000000" w:rsidRPr="00000000" w:rsidDel="00000000">
              <w:rPr>
                <w:rtl w:val="0"/>
              </w:rPr>
              <w:t xml:space="preserve">." Atkārtoti aicinām ietvert izvērstāku skaidrojumu par to, kas tieši vadlīnijās ir mainījies un kādēļ veikts tieši šāds precizējums. Citastarp aicinām izvērtēt un skaidrot šādas redakcijas korektumu, proti, aicinām skaidrot, vai </w:t>
            </w:r>
            <w:r w:rsidR="00000000" w:rsidRPr="00000000" w:rsidDel="00000000">
              <w:rPr>
                <w:rtl w:val="0"/>
              </w:rPr>
              <w:t xml:space="preserve">Eiropas Parlamenta un Padomes 2024. gada 23. septembra Regulas (ES, Euratom) 2024/2509 par finanšu noteikumiem, ko piemēro Savienības vispārējam budžetam (pārstrādāta redakcija), 61. pants pēc būtības ir piemērojams arī finansējuma saņēmējiem (tostarp privātpersonām), ne tikai valsts iestādēm. Ja nepieciešams, aicinām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25-TA-1658</w:t>
    </w:r>
    <w:r>
      <w:br/>
    </w:r>
    <w:r w:rsidR="00000000" w:rsidRPr="00000000" w:rsidDel="00000000">
      <w:rPr>
        <w:rtl w:val="0"/>
      </w:rPr>
      <w:t xml:space="preserve">Izdrukāts 19.12.2025. 17.29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25-TA-1658</w:t>
    </w:r>
    <w:r>
      <w:br/>
    </w:r>
    <w:r w:rsidR="00000000" w:rsidRPr="00000000" w:rsidDel="00000000">
      <w:rPr>
        <w:rtl w:val="0"/>
      </w:rPr>
      <w:t xml:space="preserve">Izdrukāts 19.12.2025. 17.29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Atzinumi_25-TA-1658.docx</dc:title>
</cp:coreProperties>
</file>

<file path=docProps/custom.xml><?xml version="1.0" encoding="utf-8"?>
<Properties xmlns="http://schemas.openxmlformats.org/officeDocument/2006/custom-properties" xmlns:vt="http://schemas.openxmlformats.org/officeDocument/2006/docPropsVTypes"/>
</file>