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3.3. sadaļā precizēt sasniegšanas termiņu uz 2029.gadu;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5.1.2 punktā izvērtēt atbilstību pret 2013.gada Eiropas Savienības regulu un 2017.gada Eiropas Savienības direktīvu. Skaidrojam, ka  šajā sadaļā norādāmas tikai jaunas ES prasības, kas ar projekta aktivitātēm tiek ieviestas;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pases 5.1. sadaļā norādītie lietotāji atbilst integrēto lietotāju definīcijai, ņemot vērā, ka rādītājs ir sasniedzams gadījumā, ja lietotāji ir transformējuši savus procesus vai integrējuši savus digitālos risinājumus ar projekta ietvaros attīstīto risinājumu. Lūdzam precizēt, kuri lietotāji kvalificējas kā integrētie lietotāji un kā tiek nodrošināta atbilstība rādītāja definīcijai.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pasākuma 1.3.1.1. īstenošanas nosacījumiem projektā jānorāda "jaunu un modernizētu publisko digitālo pakalpojumu, produktu un procesu lietotāji", kas ir jāsasniedz ne vēlāk kā otrajā kalendāra gadā pēc projekta noslēguma maksājuma veikšanas (bet ne vēlāk kā līdz 2029.g. 31.decembrim).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Norādot lietotāju skaitu 5.1. sadaļā, šis rādītājs tiek ieskaitīts kā projekta obligāti sasniedzamais rādītājs, kas jāsasniedz ne vēlāk kā otrā kalendārajā gadā pēc projekta noslēguma. Skaidrojam, ka rādītāja vērtībā, balstoties uz finansējuma saņēmēja sniegto informāciju, tiks ieskaitīti tie lietotāji, kas ir integrējuši savus digitālos risinājumus ar projekta ietvaros digitālo risinājumu, piemēram, datu automatizētai apmaiņai. Ņemot vērā, ka rādītāja bāzes vērtība ir 0, ja pirms sistēmas jaunās funkcionalitātes izstrādes, esošajai sistēmai ir bijuši lietotāji, kas turpmāk lieto arī jauno funkcionalitāti, tie tiek ieskaitīti projektā sasniegtā rādītāja vērtībā. Līdz ar to lūdzam norādīt juridisko personu skaitu, kas ne vēlāk kā otrajā kalendāra gadā pēc projekta noslēguma maksājuma veikšanas izmantos projekta rezultātus atbilstoši iepriekš minētajam skaidrojumam un to būs iespējams apliecināt.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paredzēt projekta pases 3.4.3. punktā Soda reģistra datu izplatīšanu caur DAGR platformu, kā arī minētā e-pakalpojuma izstrādi Latvija.gov.lv. Vēršam uzmanību, ka Latvija.gov.lv jau šobrīd tiek attīstīti līdzīga veida pakalpojumi, kuru ietvaros iedzīvotāji var uzzināt par datiem, kas par tiem pieejami valsts reģistros t.i., pakalpojums mani dati.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pases 3.3. sadaļu, jo tajā norādītie lietderības rādītāji (KPI) nepietiekami atspoguļo projekta sociālekonomisko ieguvumu – administratīvā sloga mazināšana nav pietiekami pamatota attiecībā uz sabiedrību vai komersantiem, vairākos rādītājos esošā vērtība norādīta kā “0”, kā arī atsevišķi formulējumi pēc būtības raksturo projekta rezultātu, nevis mērāmu lietderības rādītāju. Lūdzam nodrošināt korektu sākotnējo un mērķa vērtību noteikšanu, skaidru sasaisti starp ieguvumiem un KPI, kā arī norādīt datu avotu un datu aktualizēšanas biežumu katram rādītājam.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paredzēta saziņa ar personām, tostarp paziņojumu nosūtīšana saistībā ar ieroču atļaujām, lūdzam projektā paredzēt sabiedrības informēšanu, izmantojot oficiālo elektronisko adresi (e-adresi) atbilstoši normatīvo aktu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pases 3.1. sadaļas 3. punktā paredzēta Sodu reģistra apakšsistēmu datu migrācija, kā arī to, ka VDAA projekta “Vienotā datu koplietošanas platforma publiskā sektora un tautsaimniecības datu koplietošanai nacionāli un Eiropas datu telpas ietvaros, t.sk. ieviešot risinājumus datu depersonalizācijai, kā arī personas pārvaldītai un kontrolētai datu koplietošanai (DAGR)” ietvaros ir īstenota Sodu reģistra pārbūve un nodrošināta tā integrācija ar DAGR platformu, lūdzam paredzēt nepieciešamo Sodu reģistra datu izgūšanu caur DAGR platformu, neveidojot tiešu integrāciju ar Sodu reģistru.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pases 7. sadaļas “informācija par projekta sasaisti ar atklātas stratēģiskās autonomijas un drošības jautājumiem”, ja sasaiste nav identificēta, lūgums to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pases 7. sadaļas “informācija par projekta “biznesa” īpašnieku (business owner) un tā lomu projekta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 sadaļā lūdzam izvērtēt, vai neveidosies koplietošanas pakalpojums, ņemot vērā projekta ietvaros plānoto aktivitāšu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5.2. sadaļā E-KRASS 2.kārta “Lietotāju skaits” norādīt institūciju skaitu (nepieciešamības gadījumā atšifrējot lietotāju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5.2. sadaļā iekļaut VIRSIS identifikācijas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4.2. punktā izkļaut norādi, jo īstenošanas termiņš nevar būt indikatīvs.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3.2. sadaļā pie pamatojuma avotiem iekļaut norādi uz audita konstatējumiem.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3.2. sadaļā iekļautā informācija zem apakšsadaļas “Izmaksu novēršana un darbības nepārtrauktības nodrošināšana”ir attiecināma uz šo sadaļu, nepieciešamības gadījumā lūdzam to atzīmēt.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3.2. sadaļā minēto “</w:t>
            </w:r>
            <w:r w:rsidR="00000000" w:rsidRPr="00000000" w:rsidDel="00000000">
              <w:rPr>
                <w:i w:val="1"/>
                <w:rtl w:val="0"/>
              </w:rPr>
              <w:t xml:space="preserve">Jomas attīstības mērķi aptver tehnoloģisko modernizāciju, procesu efektivitātes paaugstināšanu un kiberdrošības stiprināšanu:” </w:t>
            </w:r>
            <w:r w:rsidR="00000000" w:rsidRPr="00000000" w:rsidDel="00000000">
              <w:rPr>
                <w:rtl w:val="0"/>
              </w:rPr>
              <w:t xml:space="preserve">iekļaut pie nākamās apakšsadaļas -</w:t>
            </w:r>
            <w:r w:rsidR="00000000" w:rsidRPr="00000000" w:rsidDel="00000000">
              <w:rPr>
                <w:i w:val="1"/>
                <w:rtl w:val="0"/>
              </w:rPr>
              <w:t xml:space="preserve"> Kiberdrošības un noturības prasību izpilde.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pases 3.1. punktā minētās darbības, tostarp ārvalstu iestāžu nolēmumu izpilde, rada pārrobežu pakalpojuma aspektu SDG regulas un Eiropas sadarbspējas akta izpratnē, un gadījumā, ja tas tiek konstatēts, nodrošināt Sadarbspējas novērtējuma veikšanu un tā rezultātu atspoguļošanu projekta dokumentācijā.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2.2. punktā kā saistīto projektu norādīt arī IeMIC ERAF 1.3.1.1. projektu “Informācijas tehnoloģiju infrastruktūras pilnveidošana”.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iekļaut plānoto uzturēšanas izdevumu pozīciju atšifrējumu.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17.02.2026.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17.02.2026.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