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Murjāņu sporta ģimnāzijas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skaidrojumu, vai maksas pakalpojumu izcenojumā ietvertā atlīdzība (darba samaksa) ir paredzēta pedagoģiskajam vai arī skolu tehniskajam personālam. Ja pakalpojuma izmaksu aprēķinā ir ietverti izdevumi skolu tehniskajam personālam, tad lūdzam norādīt, vai  mēnešalga ir plānota atbilstoši mēnešalgu skalas intervāla minimumam, viduspunktam vai arī citādi, kā arī norādīt atbilstoši kura kalendārā gada algu skalas intervāli ir izmantoti (pamatojums: VSS 30.03.2023. protokols Nr. 12 #4 5.punkts). Papildus vēršama uzmanība, ka 2025.gadam mēnešalgu skala pieaug par 2,6% salīdzinot ar 2024.gadu un tā ir pieejama Valsts kancelejas tīmekļvietnē (https://www.mk.gov.lv/lv/dati-par-darba-samaksu-un-nodarbinatajiem-valsts-parvalde, sadaļā Bāzes mēnešalga).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21.11.2024.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21.11.2024.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Atzinumi_24-TA-532.docx</dc:title>
</cp:coreProperties>
</file>

<file path=docProps/custom.xml><?xml version="1.0" encoding="utf-8"?>
<Properties xmlns="http://schemas.openxmlformats.org/officeDocument/2006/custom-properties" xmlns:vt="http://schemas.openxmlformats.org/officeDocument/2006/docPropsVTypes"/>
</file>