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264.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312. un 313. zīmes darbība neattiecas uz šādiem transportlīdzekļiem, kuriem ir izsniegta valsts sabiedrības ar ierobežotu atbildību "Latvijas Valsts ceļi" atļauja, šo noteikumu 264.punktā minēto atļauju saņēmējiem ir pienākums ievērot šo noteikumu 264.1 punktā minēto ierobežojumu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264.1. transportlīdzekļiem, kuri paredzēti sadzīves atkritumu izvešanai;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264.2. dzīvnieku izcelsmes blakusproduktu un atvasinātu produktu, kas nav paredzēti cilvēka patēriņam, pārvadāšanai paredzētiem transportlīdzekļiem, kas pieder komersantiem, kuri normatīvajos aktos noteiktā kārtībā atzīti un reģistrēti Pārtikas un veterinārajā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264.3. transportlīdzekļiem, kas kravas transporta cisternās pārvadā svaigpienu, ja par šiem transportlīdzekļiem valsts akciju sabiedrības “Ceļu satiksmes drošības direkcija” transportlīdzekļu un to vadītāju valsts reģistrā ir izdarīta atzīme “Svaigpiena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264.4. komunālo pakalpojumu sniedzēju un energoapgādes komersantu transportlīdzekļiem, kuri piedalās avārijas seku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264.5. ceļu uzturēšanas transportlīdzekļiem, kas veic neatliekamus ceļu uzturēšanas darbus vai piedalās avārijas seku novēršanā.”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izvērtēt un precizēt projekta 19. un 20.punktu (Noteikumu 264. un 264.1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19.punktā nav saprotama palīgteikuma "šo noteikumu 264.punktā minēto atļauju saņēmējiem ir pienākums ievērot šo noteikumu 264.1 punktā minēto ierobežojumu atcelšanu" būtība, proti, kādas (papildus) prasības ir jāievēro subjektiem, kuriem izsniegtas speciālas atļaujas, kas ļauj atkāpties no ceļa zīmju 312. un 313. prasībām, turklāt, ja ierobežojumi īslaicīgi atcelti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2016.gada 19.janvāra noteikumiem Nr. 42 "Kārtība, kādā aizliedzama vai ierobežojama satiksme" satiksmi uz ceļiem var aizliegt vai ierobežot,  lai novērstu ceļu bojājumus, kas radušies vai varētu rasties klimatisko apstākļu dēļ un, lai novērstu satiksmes negadījuma risku ceļa bojājumu dēļ, pieņemot attiecīgu lēmumu attiecībā uz valsts autoceļiem – valsts akciju sabiedrība "Latvijas Valsts ceļi", attiecībā uz pašvaldību autoceļiem un ielām – attiecīgā pašvaldība. Minētajām institūcijām šajos gadījumos jānodrošina arī attiecīgi pasākumi, kas noteikti normatīvajos aktos par satiksmes organizācijas tehnisko līdzekļu izvietošanu un satiksmes organizēšanu uz ceļiem. Minēto noteikumu 14.punktā ir paredzēti izņēmumi uz kuriem transportlīdzekļiem neattiecas satiksmes ierobežojumi un aizliegumi. Iekšlietu ministrijas ieskatā nav vēlams veidot sadrumstalotu regulējumu, vienlaikus saglabājot izņēmumus minētajos noteikumos un paredzot jaunus izņēmumus Ceļu satiksmes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projekta 20.punktu norādām, ka Iekšlietu ministrijas ieskatā situācija, ka publiski (ceļa pārvaldītāja tīmekļvietnē) pieejamā informācija, kas atceļ satiksmes ierobežojumus, ir pretrunā ar uz ceļa uzstādītajām Aizlieguma ceļa zīmēm, kas paredz satiksmes ierobežojumus, nav atbalstāma ne no satiksmes drošības viedokļa, ne ceļu aizsardzības viedokļa, ne no satiksmes kontroles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Satiksmes ministrijas ieskatā mainīgu klimatisko apstākļu dēļ iespējams 312. un 313. zīmē paredzētos satiksmes ierobežojumus nepiemērot pastāvīgi, tas risināms uzstādot/demontējot attiecīgās ceļa zīmes vai uzstādot attiecīgas papildzīmes, kā arī papildus publiski informējot satiksmes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Noteikumu 72.punktu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neattiecas uz pasažieru sabiedriskajiem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8.punktā piedāvātos grozījumus Ceļu satiksmes noteikumu 72.punktā, paredzot attiecīgu grozījumu izdarīšanu jau šobrīd spēkā esošajā 72.punkta redakcijā un aizstājot tajā vārdus "tramvaja sliežu klātnes" ar vārdiem "tramvaja sliežu ceļa klātnes" (tādējādi nodrošinot vienveidīgas terminoloģijas lietošanu visā Ceļu satiksmes noteikumu tekstā). Projektam pievienotajā izziņā norādīts, ka Iekšlietu ministrijas iepriekš sniegtais priekšlikums attiecībā uz projekta 8.punktā piedāvāto grozījumu precizēšanu ir ņemts vērā, bet faktiski minētais priekšlikums nav ticis ņemts vērā. Līdz ar to arī projektam pievienotajā izziņā norādītā informācija attiecībā uz šo priekšlikumu nav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Noteikumu 22.nodaļu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Papildu prasības velosipēdu un elektroskrejriteņu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Velosipēdu un elektroskrejriteņu vadītājiem jābrauc pa attiecīgā virziena velojoslu, velosipēdu ceļu vai gājēju un velosipēdu ceļu, vai brauktuves daļu, kas apzīmēta ar 956. ceļa apzīmējumu iespējami tuvāk to labajai malai. Ja to nav vai tie ir attālināti no ceļa, velosipēdu un elektroskrejriteņu vadītājiem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 braukt pa brauktuvi vienā rindā iespējami tuvāk brauktuves (braukšanas joslas) labajai malai; Tālāk uz brauktuves atļauts izbraukt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200.1.1. lai apbrauktu, apsteigtu vai apdzītu;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 lai apdzīvotā vietā brauktu taisni, ja labā malējā josla ierīkota tikai labajam pagriezienam;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 pavadot bērnus, kas jaunāki par 12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200.1.4. lai brauktu pa braukšanas joslu visā tās platumā, bez iemesla netraucējot cita transportlīdzekļa braukšanu, uz ceļiem, kur atļautais braukšanas ātrums nepārsniedz 30 km/h, vietā, kur neveic darbus uz ceļa vai nav maksimālā ātruma ierobežojuma ar noteiktu darbības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200.1.5. lai nogrieztos pa kreisi šo noteikumu 209.punktā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  braukt pa nomali, dodot ceļu gājējiem;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 braukt pa ietvi, izņemot pašgājēja velosipēda vadītājiem, netraucējot gājējus,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200.3.1.               ja braukšana pa brauktuvi, ņemot vērā ceļu satiksmes intensitāti, ceļa un meteoroloģiskos apstākļus, nav iespējama, ir apgrūtināta vai bīstama;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               bērniem, kuri jaunāki par 12 gadiem, un velosipēdu un elektroskrejriteņu vadītājiem, kuri tos pavada.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   braukt pa kopīgu gājēju un velosipēdu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Braucot pa ietvi vai kopīgu gājēju un velosipēdu ceļu, velosipēdu un elektroskrejriteņu vadītājiem jāievēro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gājējiem ir priekšroka;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jāizvēlas tāds braukšanas ātrums, lai netiktu apdraudēti vai traucēti gājēji;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ja pastāv risks, ka var apdraudēt vai traucēt gājējus, jābrauc ar ātrumu, kas nepārsniedz gājēju pārvietošanās ātrumu, vai jāaptur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Velosipēdu un elektroskrejriteņu vadītājiem jābrauc ar ātrumu, kas neapdraud ceļu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Velosipēdu un elektroskrejriteņu vadītājiem jāievēro to satiksmei noteiktais virziens un brauktuves puse. Braukt pretējā virzienā pa brauktuvi aizliegts, izņemot gadījumus, kad tas noteikts ar atbilstošām ceļa zīmēm vai apzīmējumiem.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Velosipēdu un elektroskrejriteņu vadītājiem atļauts šķērsot brauktuvi pa ietves vai nomales iedomāto turpinājumu krustojumā, kā arī, netraucējot gājējus, – pa gājēju pārejām. Pirms brauktuves šķērsošanas velosipēdu un elektroskrejriteņu vadītājiem laikus jāsamazina braukšanas ātrums un, ja tas nepieciešams ceļu satiksmes drošībai, transportlīdzeklis jāaptur. Šķērsojot brauktuvi pa ietves iedomāto turpinājumu, velosipēdu un elektroskrejriteņa vadītājiem jābrauc ar ātrumu, kas nepārsniedz gājēju pārvietošanās ātrumu un jādod ceļš transportlīdzekļiem, kas brauc pa šķērsojamo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Ja gājēju pārejas robežās, ko nosaka 535., 536. zīmes, ietverti 931. un 932. apzīmējumi, velosipēdu un elektroskrejriteņu vadītājiem brauktuve jāšķērso pa gājēju pārejas daļu, kas paredzēta braukšanai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Vietās, kur ārpus krustojumiem velosipēdu ceļš, gājēju un velosipēdu ceļš vai kopīgais gājēju un velosipēdu ceļš šķērso brauktuvi un ceļu satiksme netiek regulēta, velosipēdu un elektroskrejriteņa vadītājiem, kas brauc pa šiem ceļiem, jādod ceļš transportlīdzekļiem, kas brauc pa šķērsojamo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Vietās, kur velosipēdu un elektroskrejriteņa vadītāju braukšanas trajektorijas krustojas ar pārējo transportlīdzekļu braukšanas trajektorijām, velosipēdu vadītājiem jānovērtē attālums līdz transportlīdzekļiem, kas tuvojas, kā arī jānovērtē to braukšanas ātrums un jāpārliecinās par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Pirms nogriešanās pa kreisi velosipēda un elektroskrejriteņa vadītājiem jāizvērtē ceļa veids (vienvirziena, divvirzienu, joslu skaits, atļautie braukšanas virzieni tajās u. tml.), satiksmes intensitāte un jāizvēlas drošākais manevra veikšanas veids tā, lai neradītu satiksmei bīstamas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 Vietās, kur nav iekārtots velosipēdu ceļš, gājēju un velosipēdu ceļš vai kopīgs gājēju un velosipēdu ceļš, velosipēda un elektroskrejriteņa vadītājiem nogriešanās pa kreisi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 krustojumos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209.1.1. šķērsojot brauktuvju krustošanās vietu pa brauktuves labo malu, dodot ceļu tajā pašā virzienā taisni braucošajiem transportlīdzekļiem un tiem ceļu satiksmes dalībniekiem, kam saskaņā ar braukšanas noteikumiem krustojumā ir priekšroka;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209.1.2. uz ceļiem, kur ceļu satiksme notiek divos virzienos un ir viena braukšanas josla katrā virzienā, nogriešanos pa kreisi atļauts veikt no kreisā malējā stāvokļa, kas ieņemts uz brauktuves;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209.1.3. uz ceļiem, kur noteikta vienvirziena satiksme, nogriešanos pa kreisi atļauts veikt no kreisās malējās joslas labās malas;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209.1.4. ja braukšanai attiecīgajā virzienā ir vairākas joslas un iekārtota atsevišķa josla tikai braukšanai pa kreisi, nogriešanos pa kreisi atļauts veikt no kreisās malējās joslas labās malas.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209.2. ārpus krustojumiem apdzīvotās vietās no brauktuves labās malas, bet uz ceļiem, kur ceļu satiksme notiek divos virzienos ar vienu joslu katrā virzienā, – arī no kreisā malējā stāvokļa, kas ieņemts uz attiecīgā virziena braukšanas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209.3. ārpus apdzīvotām vietām - tikai no brauktuves labās malas (labās nomales), dodot ceļu tajā pašā virzienā un pretim braucošajiem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Velosipēdam un ektroskrejritenim jābūt tehniskā kārtībā un aprīkotam ar bremzēm.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Elektroskrejritenim braukšanas laikā priekšpusē jādeg baltas gaismas lukturim, bet aizmugurē – sarkanas gaismas lukturim. Elektroskrejritenim abos tā sānos jābūt aprīkotam ar dzelteniem gaismas atstarotājiem.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Velosipēdam abos tā sānos un riteņu abās pusēs, jābūt aprīkotam ar dzelteniem gaismas atstarotājiem, priekšpusē jābūt aprīkotam ar baltu atstarotāju, bet aizmugurē ar sarkanu atstarotāju, kā arī, braucot diennakts tumšajā laikā vai nepietiekamas redzamības apstākļos, priekšpusē jādeg baltas gaismas lukturim un aizmugurē – sarkanas gaismas lukturim.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1</w:t>
            </w:r>
            <w:r w:rsidR="00000000" w:rsidRPr="00000000" w:rsidDel="00000000">
              <w:rPr>
                <w:rtl w:val="0"/>
              </w:rPr>
              <w:t xml:space="preserve"> Ja lukturu nav vai tie nedarbojas, velosipēda un elektroskrejriteņa vadītājiem diennakts tumšā laikā jābūt tērptam atstarojošā vestē vai apģērbā ar labi redzamiem gaismu atstarojošiem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2</w:t>
            </w:r>
            <w:r w:rsidR="00000000" w:rsidRPr="00000000" w:rsidDel="00000000">
              <w:rPr>
                <w:rtl w:val="0"/>
              </w:rPr>
              <w:t xml:space="preserve">  Velosipēdu piekabēm aizmugurē jābūt sarkanam gaismas atstarotājam, kā arī, braucot diennakts tumšajā laikā vai nepietiekamas redzamības apstākļos, aizmugurē jādeg sarkanas gaismas lukturim.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3</w:t>
            </w:r>
            <w:r w:rsidR="00000000" w:rsidRPr="00000000" w:rsidDel="00000000">
              <w:rPr>
                <w:rtl w:val="0"/>
              </w:rPr>
              <w:t xml:space="preserve"> Velosipēda un elektroskrejriteņa vadītājiem vecumā līdz 17 gadiem galvā jābūt aizsprādzētai aizsargķiverei.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  Velosipēdu un elektroskrejriteņu vadītājiem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.1. braukt, neturot stūri;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.2. braukt, turoties pie cita braucoša transportlīdzekļa;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212.4.3. pārvadāt kravu, kas traucē vadīšanu vai apdraud citus ceļu satiksmes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.4. vest pasažieri. Ar velosipēdu atļauts vest bērnus vecumā līdz septiņiem gadiem ar galvā uzvilktu aizsprādzētu aizsargķiveri, ja ir iekārtoti droši papildu sēdekļi vai velosipēds ir izgatavots speciāli šim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.5. vilkt citus transportlīdzekļus, izņemot piekabes, kas izgatavotas speciāli šim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5</w:t>
            </w:r>
            <w:r w:rsidR="00000000" w:rsidRPr="00000000" w:rsidDel="00000000">
              <w:rPr>
                <w:rtl w:val="0"/>
              </w:rPr>
              <w:t xml:space="preserve">. Velosipēdu vadītāji treniņnodarbību laikā vai organizētu sacensību laikā, ja tos noteiktā kārtībā pavada speciāli aprīkoti automobiļi, drīkst neievērot šo noteikumu 200., 211., 212., 212.</w:t>
            </w:r>
            <w:r w:rsidR="00000000" w:rsidRPr="00000000" w:rsidDel="00000000">
              <w:rPr>
                <w:vertAlign w:val="superscript"/>
                <w:rtl w:val="0"/>
              </w:rPr>
              <w:t xml:space="preserve">1</w:t>
            </w:r>
            <w:r w:rsidR="00000000" w:rsidRPr="00000000" w:rsidDel="00000000">
              <w:rPr>
                <w:rtl w:val="0"/>
              </w:rPr>
              <w:t xml:space="preserve"> un 212.</w:t>
            </w:r>
            <w:r w:rsidR="00000000" w:rsidRPr="00000000" w:rsidDel="00000000">
              <w:rPr>
                <w:vertAlign w:val="superscript"/>
                <w:rtl w:val="0"/>
              </w:rPr>
              <w:t xml:space="preserve">2</w:t>
            </w:r>
            <w:r w:rsidR="00000000" w:rsidRPr="00000000" w:rsidDel="00000000">
              <w:rPr>
                <w:rtl w:val="0"/>
              </w:rPr>
              <w:t xml:space="preserve"> punktā minētās prasības, ja tiek nodrošināta ceļu satiksmes drošība.”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projekta saskaņošanas kārtā Iekšlietu ministrija izteica aicinājumu precizēt projekta 17.punktā (šobrīd projekta 16.punkts) piedāvāto 22.nodaļas regulējumu, pilnībā pārņemot (ietverot) tajā arī šobrīd spēkā esošo Ceļu satiksmes noteikumu 209.punkta regulējumu. Projektam pievienotajā izziņā norādīts, ka minētais priekšlikums nav ņemts vērā. Taču paskaidrojuma tekstā attiecībā minētā priekšlikuma neņemšanu vērā norādīts, ka šobrīd spēkā esošais Ceļu satiksmes noteikumu 209.punkta regulējums jaunajā 22.nodaļas regulējumā ir ticis pārņemts ar projekta 16.punktā ietverto 212., 212.</w:t>
            </w:r>
            <w:r w:rsidR="00000000" w:rsidRPr="00000000" w:rsidDel="00000000">
              <w:rPr>
                <w:vertAlign w:val="superscript"/>
                <w:rtl w:val="0"/>
              </w:rPr>
              <w:t xml:space="preserve">1</w:t>
            </w:r>
            <w:r w:rsidR="00000000" w:rsidRPr="00000000" w:rsidDel="00000000">
              <w:rPr>
                <w:rtl w:val="0"/>
              </w:rPr>
              <w:t xml:space="preserve"> un 212.</w:t>
            </w:r>
            <w:r w:rsidR="00000000" w:rsidRPr="00000000" w:rsidDel="00000000">
              <w:rPr>
                <w:vertAlign w:val="superscript"/>
                <w:rtl w:val="0"/>
              </w:rPr>
              <w:t xml:space="preserve">2</w:t>
            </w:r>
            <w:r w:rsidR="00000000" w:rsidRPr="00000000" w:rsidDel="00000000">
              <w:rPr>
                <w:rtl w:val="0"/>
              </w:rPr>
              <w:t xml:space="preserve">punkta regulējumu. Iekšlietu ministrija šādam paskaidrojumam pilnībā piekrīt, bet vienlaikus norāda, ka projekta iepriekšējā versijā (sk. 2.0 Redakciju) 212.punkts nemaz nebija ietverts. Tādējādi faktiski konstatējams, ka Iekšlietu ministrijas iepriekš sniegtais priekšlikums ir ticis ņemts vērā. Līdz ar to projektam pievienotajā izziņā attiecībā uz šo priekšlikumu nepieciešams norādīt korektu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anotācijā mērķa aprakstu, jo ne no projekta anotācijas risinājuma apraksta, ne no projektā ietverto normu redakcijas neizriet, ka tiek atcelts pienākums VSIA "Latvijas valsts ceļi" izsniegt atļaujas pārvadājumiem ceļa zīmes 312. un 313.darbības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04.03.2026.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04.03.2026.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